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EDF7" w14:textId="77777777" w:rsidR="00C66B48" w:rsidRPr="00394E43" w:rsidRDefault="00C66B48" w:rsidP="00C66B48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94E4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قاعده ید/قواعد فقهیه</w:t>
      </w:r>
    </w:p>
    <w:p w14:paraId="463B744F" w14:textId="26231E5E" w:rsidR="00653542" w:rsidRPr="00C66B48" w:rsidRDefault="00653542" w:rsidP="00A70803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bookmarkStart w:id="0" w:name="_GoBack"/>
      <w:bookmarkEnd w:id="0"/>
      <w:r w:rsidRPr="00C66B48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اخبار ذی الید در </w:t>
      </w:r>
      <w:r w:rsidR="00BA5DB3" w:rsidRPr="00C66B48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عنبی</w:t>
      </w:r>
    </w:p>
    <w:p w14:paraId="22EAFF49" w14:textId="30D879FF" w:rsidR="003053A4" w:rsidRPr="00C66B48" w:rsidRDefault="00F85195" w:rsidP="00003E2A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بحث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إ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خبار ذی الید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 یک فرع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باقی ماند. اگر چیزی بود که میته و مذکی نداشت اما پاک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ی و نج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داشت مانند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که غلیان هم کرده و قطعا نجس شد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ه و طهارت آن هم به ذهاب ثلثیه است. حال که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نمی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دانیم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آیا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 ذهاب ثلثیه پاک شد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خیر،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آیا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اخبار ذی الید در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چنین جایی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مستصحب النجاسه است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کافی است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خیر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؟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عبارت دیگر: آیا 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به صرف اینکه ذی الید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خلاف استصحاب 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بگوید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خودم آن را پاک کردم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قولش حجت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بود</w:t>
      </w:r>
      <w:r w:rsidR="00A7080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مطلب 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لا یخلو عن اشکال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 لذا</w:t>
      </w:r>
      <w:r w:rsidR="0042660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روایات را بررسی کنیم. </w:t>
      </w:r>
    </w:p>
    <w:p w14:paraId="788AEFA0" w14:textId="6FDA2F43" w:rsidR="00653542" w:rsidRPr="00C66B48" w:rsidRDefault="00653542" w:rsidP="00653542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66B48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بررسی روایات</w:t>
      </w:r>
    </w:p>
    <w:p w14:paraId="45234E79" w14:textId="77777777" w:rsidR="00003E2A" w:rsidRPr="00C66B48" w:rsidRDefault="00524963" w:rsidP="00653542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محمد بن يعقوب، عن علي بن إبراهيم، عن أبيه، عن ابن أبي عميرعن الحسن بن عطية، عن عمر بن يزيد قال: قلت لأبي عبد الله عليه السلام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: 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الرجل يهدى إليه البختج من غير أصحابنا فقال: إن كان ممن يستحل المسكر فلا تشربه، وإن كان ممن لا يستحل فاشربه</w:t>
      </w:r>
      <w:r w:rsidR="00653542" w:rsidRPr="00C66B48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t>.</w:t>
      </w:r>
      <w:r w:rsidR="003E2B14" w:rsidRPr="00C66B48">
        <w:rPr>
          <w:rStyle w:val="FootnoteReference"/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footnoteReference w:id="1"/>
      </w:r>
      <w:r w:rsidR="00653542" w:rsidRPr="00C66B48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  <w:lang w:bidi="fa-IR"/>
        </w:rPr>
        <w:t xml:space="preserve"> </w:t>
      </w:r>
    </w:p>
    <w:p w14:paraId="03623058" w14:textId="64924309" w:rsidR="00524963" w:rsidRPr="00C66B48" w:rsidRDefault="00653542" w:rsidP="00003E2A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امام صادق عرض کردم که به شخصی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که پخته شده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هدیه داده اند،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هدیه دهنده هم شیعه نبوده.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فرمود ا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گر هدیه دهنده از آن دسته ای است که شراب را حلال می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دانند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نباید از آن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خورد.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اما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در مذهب آنها هم شراب حلال </w:t>
      </w:r>
      <w:r w:rsidR="00003E2A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نیست،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شرب آن جائز است. </w:t>
      </w:r>
    </w:p>
    <w:p w14:paraId="41D63696" w14:textId="5DB959B6" w:rsidR="008A46D4" w:rsidRPr="00C66B48" w:rsidRDefault="008A46D4" w:rsidP="008A46D4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وعنه، عن أبيه، عن ابن أبي عمير، عن عمر بن يزيد قال: قال أبو عبد الله عليه السلام: إذا كان يخضب الاناء فاشربه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="003E2B14" w:rsidRPr="00C66B48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2"/>
      </w:r>
    </w:p>
    <w:p w14:paraId="05E09123" w14:textId="74DD35E7" w:rsidR="008A46D4" w:rsidRPr="00C66B48" w:rsidRDefault="008A46D4" w:rsidP="00BA5DB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روایت حضرت قیدی را اضافه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کنند و آن این که اگر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آنقدر غلیظ شده بود که دیواره های ظرف رنگ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به خود میگرفت معلوم است که ذهاب ثلثیه شده و پاک است. </w:t>
      </w:r>
    </w:p>
    <w:p w14:paraId="35F35EDF" w14:textId="77777777" w:rsidR="00BA5DB3" w:rsidRPr="00C66B48" w:rsidRDefault="00D11E41" w:rsidP="00BA5DB3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وعن محمد بن يحيى، عن أحمد بن محمد، عن علي بن الحكم، عن معاوية بن وهب قال: سألت أبا عبد الله عليه السلام عن البختج فقال: إذا كان حلوا يخضب الاناء وقال صاحبه: قد ذهب ثلثاه وبقى الثلث فاشربه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="003E2B14" w:rsidRPr="00C66B48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3"/>
      </w:r>
    </w:p>
    <w:p w14:paraId="3D8394F2" w14:textId="613D3146" w:rsidR="008A46D4" w:rsidRPr="00C66B48" w:rsidRDefault="00D11E41" w:rsidP="00BA5DB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روایت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همان قیود سابق را آورده.</w:t>
      </w:r>
    </w:p>
    <w:p w14:paraId="452CBD2F" w14:textId="692CDA21" w:rsidR="00D11E41" w:rsidRPr="00C66B48" w:rsidRDefault="00D11E41" w:rsidP="00BA5DB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وعنه، عن أحمد بن محمد، عن محمد بن إسماعيل، عن يونس بن يعقوب عن معاوية بن عمار قال: سألت أبا عبد الله عليه السلام عن الرجل من أهل المعرفة بالحق يأتيني بالبختج ويقول: قد طبخ على الثلث وأنا أعرف أنه يشربه على النصف أفأشربه بقوله وهو يشربه على النصف؟ فقال: لا تشربه، قلت: فرجل من غير أهل المعرفة ممن لا نعرفه يشربه على الثلث ولا يستحله على النصف يخبرنا أن عنده بختجا على الثلث قد ذهب ثلثاه وبقى ثلثه يشرب منه؟ 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lastRenderedPageBreak/>
        <w:t>قال: نعم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="003E2B14" w:rsidRPr="00C66B48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4"/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از امام صادق علیه السلام سوال کردم که شخص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شیعه برای من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عصیر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عنبی پخته شده آورده و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ذهاب ثلثیه شده ولی من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دانم که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آدم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لا ابالی است و خودش تا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عصیر به ذهاب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نصف نرسیده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 از آن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خورد آیا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توانم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به حرف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اعتماد کنم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فرمودند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نه از آن نخور. عرض کردم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 دیگری از عامه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است و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دانم مقید است و تا به ثلث نرسیده نمی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خورد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3E2B14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آیا به حرف او و خبر او اعتماد کنم. حضرت فرمود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E2B14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بله </w:t>
      </w:r>
      <w:r w:rsidR="00CA6E0C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665DED6E" w14:textId="77777777" w:rsidR="00BA5DB3" w:rsidRPr="00C66B48" w:rsidRDefault="00CA6E0C" w:rsidP="00CA6E0C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مُحَمَّدِ بْنِ أَحْمَدَ بْنِ يَحْيَى عَنْ أَحْمَدَ بْنِ الْحَسَنِ عَنْ عَمْرِو بْنِ سَعِيدٍ عَنْ مُصَدِّقٍ عَنْ عَمَّارٍ عَنْ أَبِي عَبْدِ اللَّهِ ع فِي حَدِيثٍ أَنَّهُ سُئِلَ عَنِ الرَّجُلِ يَأْتِي بِالشَّرَابِ فَيَقُولُ هَذَا مَطْبُوخٌ عَلَى الثُّلُثِ قَالَ إِنْ كَانَ مُسْلِماً وَرِعاً مُؤْمِناً فَلَا بَأْسَ أَنْ يُشْرَبَ.</w:t>
      </w:r>
      <w:r w:rsidRPr="00C66B48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5"/>
      </w:r>
      <w:r w:rsidR="003E33CD"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</w:p>
    <w:p w14:paraId="45E8DB86" w14:textId="3BC0C793" w:rsidR="00CA6E0C" w:rsidRPr="00C66B48" w:rsidRDefault="00BA5DB3" w:rsidP="00BA5DB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روایت </w:t>
      </w:r>
      <w:r w:rsidR="003E33C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حضرت می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E33C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فرمایند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3E33C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مومن با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E33C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تقوی بود قول او پذیرفته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3E33CD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6AE836D8" w14:textId="1907FE9F" w:rsidR="003E33CD" w:rsidRPr="00C66B48" w:rsidRDefault="003E33CD" w:rsidP="003E33CD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عَنْ عَلِيِّ بْنِ جَعْفَرٍ عَنْ أَخِيهِ قَالَ سَأَلْتُهُ عَنِ الرَّجُلِ يُصَلِّي إِلَى الْقِبْلَةِ لَا يُوثَقُ بِهِ أَتَى بِشَرَابٍ 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(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آب انگوری که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) </w:t>
      </w:r>
      <w:r w:rsidRPr="00C66B4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يَزْعُمُ أَنَّهُ عَلَى الثُّلُثِ فَيَحِلُّ شُرْبُهُ قَالَ لَا يُصَدَّقُ إِلَّا أَنْ يَكُونَ مُسْلِماً عَارِفاً. </w:t>
      </w:r>
    </w:p>
    <w:p w14:paraId="62BFE282" w14:textId="36A2DE8E" w:rsidR="003E33CD" w:rsidRPr="00C66B48" w:rsidRDefault="003E33CD" w:rsidP="00BA5DB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ازمجموع این روایات معتبره این نتیجه را 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گیریم که باید اطمینان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فی الجمله باشد و صرف قول ذی الید پذیرفته نمی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بلکه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نیاز 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نیاز به </w:t>
      </w:r>
      <w:r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قرائن صرف داریم</w:t>
      </w:r>
      <w:r w:rsidR="00BA5DB3" w:rsidRPr="00C66B48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sectPr w:rsidR="003E33CD" w:rsidRPr="00C66B48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A36F2" w14:textId="77777777" w:rsidR="00AF7DA5" w:rsidRDefault="00AF7DA5" w:rsidP="00CF2919">
      <w:pPr>
        <w:spacing w:after="0" w:line="240" w:lineRule="auto"/>
      </w:pPr>
      <w:r>
        <w:separator/>
      </w:r>
    </w:p>
  </w:endnote>
  <w:endnote w:type="continuationSeparator" w:id="0">
    <w:p w14:paraId="47FD21DD" w14:textId="77777777" w:rsidR="00AF7DA5" w:rsidRDefault="00AF7DA5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766AA" w14:textId="77777777" w:rsidR="00AF7DA5" w:rsidRDefault="00AF7DA5" w:rsidP="00CF2919">
      <w:pPr>
        <w:spacing w:after="0" w:line="240" w:lineRule="auto"/>
      </w:pPr>
      <w:r>
        <w:separator/>
      </w:r>
    </w:p>
  </w:footnote>
  <w:footnote w:type="continuationSeparator" w:id="0">
    <w:p w14:paraId="7F539DE0" w14:textId="77777777" w:rsidR="00AF7DA5" w:rsidRDefault="00AF7DA5" w:rsidP="00CF2919">
      <w:pPr>
        <w:spacing w:after="0" w:line="240" w:lineRule="auto"/>
      </w:pPr>
      <w:r>
        <w:continuationSeparator/>
      </w:r>
    </w:p>
  </w:footnote>
  <w:footnote w:id="1">
    <w:p w14:paraId="1A7EB2C7" w14:textId="58843B34" w:rsidR="003E2B14" w:rsidRPr="00C66B48" w:rsidRDefault="003E2B14" w:rsidP="00CA6E0C">
      <w:pPr>
        <w:pStyle w:val="FootnoteText"/>
        <w:bidi/>
        <w:rPr>
          <w:rStyle w:val="Hyperlink"/>
          <w:rFonts w:ascii="Traditional Arabic" w:hAnsi="Traditional Arabic" w:cs="Traditional Arabic"/>
          <w:rtl/>
        </w:rPr>
      </w:pPr>
      <w:r w:rsidRPr="00C66B48">
        <w:rPr>
          <w:rStyle w:val="Hyperlink"/>
          <w:rFonts w:ascii="Traditional Arabic" w:hAnsi="Traditional Arabic" w:cs="Traditional Arabic"/>
          <w:lang w:bidi="fa-IR"/>
        </w:rPr>
        <w:footnoteRef/>
      </w:r>
      <w:r w:rsidRPr="00C66B48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C66B48">
        <w:rPr>
          <w:rStyle w:val="Hyperlink"/>
          <w:rFonts w:ascii="Traditional Arabic" w:hAnsi="Traditional Arabic" w:cs="Traditional Arabic"/>
          <w:rtl/>
          <w:lang w:bidi="fa-IR"/>
        </w:rPr>
        <w:t>-</w:t>
      </w:r>
      <w:r w:rsidRPr="00C66B48">
        <w:rPr>
          <w:rStyle w:val="Hyperlink"/>
          <w:rFonts w:ascii="Traditional Arabic" w:hAnsi="Traditional Arabic" w:cs="Traditional Arabic"/>
          <w:lang w:bidi="fa-IR"/>
        </w:rPr>
        <w:t> </w:t>
      </w:r>
      <w:r w:rsidRPr="00C66B48">
        <w:rPr>
          <w:rStyle w:val="Hyperlink"/>
          <w:rFonts w:ascii="Traditional Arabic" w:hAnsi="Traditional Arabic" w:cs="Traditional Arabic"/>
          <w:rtl/>
          <w:lang w:bidi="fa-IR"/>
        </w:rPr>
        <w:t>وسائل الشيعة -الإسلامية</w:t>
      </w:r>
      <w:r w:rsidRPr="00C66B48">
        <w:rPr>
          <w:rStyle w:val="Hyperlink"/>
          <w:rFonts w:ascii="Traditional Arabic" w:hAnsi="Traditional Arabic" w:cs="Traditional Arabic"/>
          <w:lang w:bidi="fa-IR"/>
        </w:rPr>
        <w:t> - </w:t>
      </w:r>
      <w:hyperlink r:id="rId1" w:history="1"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الشيخ الحر العاملي</w:t>
        </w:r>
        <w:r w:rsidRPr="00C66B48">
          <w:rPr>
            <w:rStyle w:val="Hyperlink"/>
            <w:rFonts w:ascii="Traditional Arabic" w:hAnsi="Traditional Arabic" w:cs="Traditional Arabic"/>
            <w:lang w:bidi="fa-IR"/>
          </w:rPr>
          <w:t>-</w:t>
        </w:r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جلد17</w:t>
        </w:r>
        <w:r w:rsidRPr="00C66B48">
          <w:rPr>
            <w:rStyle w:val="Hyperlink"/>
            <w:rFonts w:ascii="Traditional Arabic" w:hAnsi="Traditional Arabic" w:cs="Traditional Arabic"/>
            <w:lang w:bidi="fa-IR"/>
          </w:rPr>
          <w:t xml:space="preserve"> </w:t>
        </w:r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صفحه243</w:t>
        </w:r>
      </w:hyperlink>
    </w:p>
  </w:footnote>
  <w:footnote w:id="2">
    <w:p w14:paraId="2AB37B1A" w14:textId="5AC3F529" w:rsidR="003E2B14" w:rsidRPr="00C66B48" w:rsidRDefault="003E2B14" w:rsidP="003E2B14">
      <w:pPr>
        <w:pStyle w:val="FootnoteText"/>
        <w:bidi/>
        <w:rPr>
          <w:rStyle w:val="Hyperlink"/>
          <w:rFonts w:ascii="Traditional Arabic" w:hAnsi="Traditional Arabic" w:cs="Traditional Arabic"/>
          <w:rtl/>
        </w:rPr>
      </w:pPr>
      <w:r w:rsidRPr="00C66B48">
        <w:rPr>
          <w:rStyle w:val="Hyperlink"/>
          <w:rFonts w:ascii="Traditional Arabic" w:hAnsi="Traditional Arabic" w:cs="Traditional Arabic"/>
          <w:lang w:bidi="fa-IR"/>
        </w:rPr>
        <w:footnoteRef/>
      </w:r>
      <w:r w:rsidRPr="00C66B48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C66B48">
        <w:rPr>
          <w:rStyle w:val="Hyperlink"/>
          <w:rFonts w:ascii="Traditional Arabic" w:hAnsi="Traditional Arabic" w:cs="Traditional Arabic"/>
          <w:rtl/>
          <w:lang w:bidi="fa-IR"/>
        </w:rPr>
        <w:t xml:space="preserve">- </w:t>
      </w:r>
      <w:hyperlink r:id="rId2" w:history="1"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3">
    <w:p w14:paraId="6F4AB593" w14:textId="6F65C15D" w:rsidR="003E2B14" w:rsidRPr="00C66B48" w:rsidRDefault="003E2B14" w:rsidP="003E2B1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66B48">
        <w:rPr>
          <w:rStyle w:val="Hyperlink"/>
          <w:rFonts w:ascii="Traditional Arabic" w:hAnsi="Traditional Arabic" w:cs="Traditional Arabic"/>
          <w:lang w:bidi="fa-IR"/>
        </w:rPr>
        <w:footnoteRef/>
      </w:r>
      <w:r w:rsidRPr="00C66B48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C66B48">
        <w:rPr>
          <w:rStyle w:val="Hyperlink"/>
          <w:rFonts w:ascii="Traditional Arabic" w:hAnsi="Traditional Arabic" w:cs="Traditional Arabic"/>
          <w:rtl/>
          <w:lang w:bidi="fa-IR"/>
        </w:rPr>
        <w:t xml:space="preserve">- </w:t>
      </w:r>
      <w:hyperlink r:id="rId3" w:history="1"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4">
    <w:p w14:paraId="24560019" w14:textId="426F9909" w:rsidR="003E2B14" w:rsidRPr="00C66B48" w:rsidRDefault="003E2B14" w:rsidP="003E2B1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66B48">
        <w:rPr>
          <w:rStyle w:val="Hyperlink"/>
          <w:rFonts w:ascii="Traditional Arabic" w:hAnsi="Traditional Arabic" w:cs="Traditional Arabic"/>
          <w:lang w:bidi="fa-IR"/>
        </w:rPr>
        <w:footnoteRef/>
      </w:r>
      <w:r w:rsidRPr="00C66B48">
        <w:rPr>
          <w:rStyle w:val="Hyperlink"/>
          <w:rFonts w:ascii="Traditional Arabic" w:hAnsi="Traditional Arabic" w:cs="Traditional Arabic"/>
          <w:lang w:bidi="fa-IR"/>
        </w:rPr>
        <w:t xml:space="preserve"> </w:t>
      </w:r>
      <w:r w:rsidRPr="00C66B48">
        <w:rPr>
          <w:rStyle w:val="Hyperlink"/>
          <w:rFonts w:ascii="Traditional Arabic" w:hAnsi="Traditional Arabic" w:cs="Traditional Arabic"/>
          <w:rtl/>
        </w:rPr>
        <w:t xml:space="preserve">- </w:t>
      </w:r>
      <w:hyperlink r:id="rId4" w:history="1">
        <w:r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همان</w:t>
        </w:r>
      </w:hyperlink>
    </w:p>
  </w:footnote>
  <w:footnote w:id="5">
    <w:p w14:paraId="3E7E36AC" w14:textId="08EF4F53" w:rsidR="00CA6E0C" w:rsidRPr="00C66B48" w:rsidRDefault="00AF7DA5" w:rsidP="00CA6E0C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hyperlink r:id="rId5" w:tgtFrame="_blank" w:history="1">
        <w:r w:rsidR="00CA6E0C" w:rsidRPr="00C66B48">
          <w:rPr>
            <w:rStyle w:val="Hyperlink"/>
            <w:rFonts w:ascii="Traditional Arabic" w:hAnsi="Traditional Arabic" w:cs="Traditional Arabic"/>
            <w:lang w:bidi="fa-IR"/>
          </w:rPr>
          <w:footnoteRef/>
        </w:r>
        <w:r w:rsidR="00CA6E0C" w:rsidRPr="00C66B48">
          <w:rPr>
            <w:rStyle w:val="Hyperlink"/>
            <w:rFonts w:ascii="Traditional Arabic" w:hAnsi="Traditional Arabic" w:cs="Traditional Arabic"/>
            <w:lang w:bidi="fa-IR"/>
          </w:rPr>
          <w:t xml:space="preserve"> </w:t>
        </w:r>
        <w:r w:rsidR="00CA6E0C" w:rsidRPr="00C66B48">
          <w:rPr>
            <w:rStyle w:val="Hyperlink"/>
            <w:rFonts w:ascii="Traditional Arabic" w:hAnsi="Traditional Arabic" w:cs="Traditional Arabic"/>
            <w:rtl/>
          </w:rPr>
          <w:t xml:space="preserve">- </w:t>
        </w:r>
        <w:r w:rsidR="00CA6E0C" w:rsidRPr="00C66B48">
          <w:rPr>
            <w:rStyle w:val="Hyperlink"/>
            <w:rFonts w:ascii="Traditional Arabic" w:hAnsi="Traditional Arabic" w:cs="Traditional Arabic"/>
            <w:rtl/>
            <w:lang w:bidi="fa-IR"/>
          </w:rPr>
          <w:t>وسائل الشیعة، شیخ حر عاملی، ج25، ص294، ابواب الاشربة المحرمة، باب7، شماره31942، ح6، ط آل البیت</w:t>
        </w:r>
        <w:r w:rsidR="00CA6E0C" w:rsidRPr="00C66B48">
          <w:rPr>
            <w:rStyle w:val="Hyperlink"/>
            <w:rFonts w:ascii="Traditional Arabic" w:hAnsi="Traditional Arabic" w:cs="Traditional Arabic"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26285186" w:rsidR="003E2B14" w:rsidRPr="00C66B48" w:rsidRDefault="00C66B48" w:rsidP="00C66B48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16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03E2A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66A5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7DA5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A5DB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52401"/>
    <w:rsid w:val="00C5536C"/>
    <w:rsid w:val="00C60BB7"/>
    <w:rsid w:val="00C655E4"/>
    <w:rsid w:val="00C65F4F"/>
    <w:rsid w:val="00C66B48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7/234/&#1581;&#1604;&#1608;&#1575;" TargetMode="External"/><Relationship Id="rId2" Type="http://schemas.openxmlformats.org/officeDocument/2006/relationships/hyperlink" Target="http://lib.eshia.ir/11024/17/234/&#1610;&#1582;&#1590;&#1576;" TargetMode="External"/><Relationship Id="rId1" Type="http://schemas.openxmlformats.org/officeDocument/2006/relationships/hyperlink" Target="http://lib.eshia.ir/11024/17/234/&#1610;&#1607;&#1583;&#1609;" TargetMode="External"/><Relationship Id="rId5" Type="http://schemas.openxmlformats.org/officeDocument/2006/relationships/hyperlink" Target="http://lib.eshia.ir/11025/25/293/31942" TargetMode="External"/><Relationship Id="rId4" Type="http://schemas.openxmlformats.org/officeDocument/2006/relationships/hyperlink" Target="http://lib.eshia.ir/11024/17/234/&#1610;&#1587;&#1578;&#1581;&#1604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A3AF-559B-49E9-A225-162CF3D4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13</cp:revision>
  <dcterms:created xsi:type="dcterms:W3CDTF">2016-04-16T02:01:00Z</dcterms:created>
  <dcterms:modified xsi:type="dcterms:W3CDTF">2016-05-02T15:01:00Z</dcterms:modified>
</cp:coreProperties>
</file>