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3D3A" w14:textId="77777777" w:rsidR="00846269" w:rsidRPr="00846269" w:rsidRDefault="00846269" w:rsidP="00846269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846269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846269">
        <w:rPr>
          <w:rFonts w:ascii="Traditional Arabic" w:hAnsi="Traditional Arabic" w:cs="Traditional Arabic"/>
          <w:sz w:val="26"/>
          <w:szCs w:val="26"/>
          <w:rtl/>
        </w:rPr>
        <w:t xml:space="preserve"> قاعده ید/قواعد فقهیه</w:t>
      </w:r>
    </w:p>
    <w:p w14:paraId="5A55B18C" w14:textId="03A16E29" w:rsidR="001C3485" w:rsidRPr="00846269" w:rsidRDefault="00862F3D" w:rsidP="004D6574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846269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 xml:space="preserve">مساله سوم : </w:t>
      </w:r>
      <w:r w:rsidR="001C3485" w:rsidRPr="00846269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شمولیت قاعده ید نسبت به حقوق</w:t>
      </w:r>
    </w:p>
    <w:p w14:paraId="526279F9" w14:textId="77777777" w:rsidR="009B7085" w:rsidRPr="00846269" w:rsidRDefault="009B7085" w:rsidP="009B7085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یکی از مسائل محل بحث، جریان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قاعده ید در حقوق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است. 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مثلا در اعیان نجسه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مثل شراب و خون 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که از ملکیت خارج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ند یعنی ملک کسی محسوب نمی شوند،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ایا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بواسطه 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قاعده ید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توان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برای افراد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نسبت به این اعیان 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اثبات حق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شود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. مثلا شخصی ع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ص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یر عنبی داشت که م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ِ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ن ق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ِ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ب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َل نفسه غ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لیان کرد و نجس شد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 به همین دلیل از مملوکیت خارج شد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. اما آیا با استفاده از قاعده 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د میتوان حق اختصاص نسبت به آن عص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یر را برای آن شخص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ی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ثابت کرد؟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در پاسخ به این سوال 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فرموده اند که بله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می توان این اختصاص را با قاعده ید ثابت نمود؛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اگر چه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عین نجاست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از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تحت </w:t>
      </w:r>
      <w:r w:rsidR="001C34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ملکیت خارج شده لکن 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حق اختصاص نسبت به آن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هنوز وجود دارد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 دیگران نمی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توانند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آ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ن عین را از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صاحب ید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بگیرند. مثال دیگر میته است. مثلا شخصی گوسفندی داشت که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تلف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 میته شد.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بعد از تبدیل به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نجس العین شد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ن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ذی الید 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حق اختصاص نسبت به آن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میته دارد؛ لهذا این ید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که بر نجس العین هست اماره بر حق اختصاص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خواهد بود</w:t>
      </w:r>
      <w:r w:rsidR="00C44FB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.</w:t>
      </w:r>
    </w:p>
    <w:p w14:paraId="4E3996F8" w14:textId="79B1949F" w:rsidR="001C08A3" w:rsidRPr="00846269" w:rsidRDefault="00C44FB7" w:rsidP="0040088C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استدلال ما بر این مطلب این است که حق اختصاص مرتبه ضعیفه از ملک و</w:t>
      </w:r>
      <w:r w:rsidR="00C0384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9B70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قابل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اسقاط</w:t>
      </w:r>
      <w:r w:rsidR="009B70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است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="00C0384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یعنی</w:t>
      </w:r>
      <w:r w:rsidR="009B70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ذی الید</w:t>
      </w:r>
      <w:r w:rsidR="00C0384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میتواند در عوض مبل</w:t>
      </w:r>
      <w:r w:rsidR="009B70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غی حق خود را مصالحه کند</w:t>
      </w:r>
      <w:r w:rsidR="00C0384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و</w:t>
      </w:r>
      <w:r w:rsidR="009B708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C03845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نیز شرعا مزاحمت برای حق او جائز نیست. 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البته در اینجا فروش حق جائز نیست</w:t>
      </w:r>
      <w:r w:rsidR="006E7047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زیرا بیع فرع بر ملکیت است و در اینجا ملکی نداریم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. در هر صورت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اسقاط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این حق نیز با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مصالحه جائز است.</w:t>
      </w:r>
    </w:p>
    <w:p w14:paraId="64E64087" w14:textId="5DC1BFB9" w:rsidR="001C08A3" w:rsidRPr="00846269" w:rsidRDefault="001C08A3" w:rsidP="001C08A3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</w:pPr>
      <w:r w:rsidRPr="00846269">
        <w:rPr>
          <w:rFonts w:ascii="Traditional Arabic" w:hAnsi="Traditional Arabic" w:cs="Traditional Arabic"/>
          <w:color w:val="FF0000"/>
          <w:sz w:val="30"/>
          <w:szCs w:val="30"/>
          <w:rtl/>
          <w:lang w:bidi="ar-AE"/>
        </w:rPr>
        <w:t>ادله اثبات حق اختصاص</w:t>
      </w:r>
    </w:p>
    <w:p w14:paraId="55F5C766" w14:textId="77777777" w:rsidR="0040088C" w:rsidRPr="00846269" w:rsidRDefault="0040088C" w:rsidP="0040088C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دلیل اول اثبات این حق بنای عقلاست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.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همچنین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عموماتی که هم بر ملکیت و هم بر حق اختصاص دلالت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دارند، وجود دارد.</w:t>
      </w:r>
    </w:p>
    <w:p w14:paraId="5B6174B5" w14:textId="77777777" w:rsidR="0040088C" w:rsidRPr="00846269" w:rsidRDefault="0040088C" w:rsidP="0040088C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ar-AE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ما اموری را از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خارج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دانیم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، مثلا در محل بحث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ید هست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،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لکن 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دانیم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این ید 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صدق ملکیت نمیکند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.</w:t>
      </w:r>
      <w:r w:rsidR="001C08A3"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اما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در همین جا حق اختصاص صلاحیت صدق دارد.</w:t>
      </w:r>
    </w:p>
    <w:p w14:paraId="17005AA6" w14:textId="0957D96D" w:rsidR="004D6574" w:rsidRPr="00846269" w:rsidRDefault="001C08A3" w:rsidP="0040088C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>مثلا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روایت فرمودند: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ar-AE"/>
        </w:rPr>
        <w:t xml:space="preserve"> </w:t>
      </w:r>
      <w:r w:rsidRPr="00846269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>(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...</w:t>
      </w:r>
      <w:r w:rsidR="000D611E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ومن </w:t>
      </w:r>
      <w:r w:rsidR="000D611E" w:rsidRPr="00846269">
        <w:rPr>
          <w:rStyle w:val="hilight"/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استولى</w:t>
      </w:r>
      <w:r w:rsidR="000D611E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 </w:t>
      </w:r>
      <w:r w:rsidR="000D611E" w:rsidRPr="00846269">
        <w:rPr>
          <w:rStyle w:val="hilight"/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على</w:t>
      </w:r>
      <w:r w:rsidR="000D611E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 </w:t>
      </w:r>
      <w:r w:rsidR="000D611E" w:rsidRPr="00846269">
        <w:rPr>
          <w:rStyle w:val="hilight"/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شئ</w:t>
      </w:r>
      <w:r w:rsidR="000D611E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 منه فهو له</w:t>
      </w:r>
      <w:r w:rsidR="000D611E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</w:rPr>
        <w:t>.</w:t>
      </w:r>
      <w:r w:rsidR="000D611E" w:rsidRPr="00846269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>)</w:t>
      </w:r>
      <w:r w:rsidR="000D611E" w:rsidRPr="00846269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footnoteReference w:id="1"/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بر اساس این روایت اگر ملکیت صدق 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کند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گوییم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مال متعلق به ذی الید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علی سبیل 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مالکیت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است و اگر صدق ملکیت ن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ک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ن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د میگوییم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318D4" w:rsidRPr="00846269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فه</w:t>
      </w:r>
      <w:r w:rsidR="00DD3B47" w:rsidRPr="00846269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>و</w:t>
      </w:r>
      <w:r w:rsidR="005318D4" w:rsidRPr="00846269">
        <w:rPr>
          <w:rFonts w:ascii="Traditional Arabic" w:hAnsi="Traditional Arabic" w:cs="Traditional Arabic"/>
          <w:b/>
          <w:bCs/>
          <w:sz w:val="26"/>
          <w:szCs w:val="26"/>
          <w:rtl/>
          <w:lang w:bidi="fa-IR"/>
        </w:rPr>
        <w:t xml:space="preserve"> له علی سبیل حق الاختصاص</w:t>
      </w:r>
      <w:r w:rsidR="000D611E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 لاشه میته که می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توانیم مال تعلق به او دارد علی سبیل حق الاختصاص. بر طبق این بیان ما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ید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استیلا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ی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خارجی بر عین است که اگر مایملک 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باشد،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ملکیت ثابت و اگر ما یملک 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نباشد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حق ثابت می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شو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د. مگر اینکه از جای دیگری ثابت 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شود که حق</w:t>
      </w:r>
      <w:r w:rsidR="0040088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ی نیز وجود ندارد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6CC0419E" w14:textId="5E1A7E7B" w:rsidR="005318D4" w:rsidRPr="00846269" w:rsidRDefault="0040088C" w:rsidP="00545136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حال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در طرف مقابل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دعوای خلافی وجود نداشت،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حکم به </w:t>
      </w:r>
      <w:r w:rsidR="0009499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ختصاص</w:t>
      </w:r>
      <w:r w:rsidR="0009499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صاحب ید</w:t>
      </w:r>
      <w:r w:rsidR="005318D4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09499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کنیم</w:t>
      </w:r>
      <w:r w:rsidR="0009499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اما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شخصی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مدعی خلاف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</w:t>
      </w:r>
      <w:r w:rsidR="00545136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؛ در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بین دو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545136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نفر،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کسی که </w:t>
      </w:r>
      <w:r w:rsidR="00545136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ما لایملک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تصرف اوست قولش مطابق قاعده و منکر محس</w:t>
      </w:r>
      <w:bookmarkStart w:id="0" w:name="_GoBack"/>
      <w:bookmarkEnd w:id="0"/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وب می شود. اما طرف </w:t>
      </w:r>
      <w:r w:rsidR="00545136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دیگر دعوا 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برای اثبات حرف</w:t>
      </w:r>
      <w:r w:rsidR="00545136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خود</w:t>
      </w:r>
      <w:r w:rsidR="00465FDC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باید بینه بیاورد. </w:t>
      </w:r>
    </w:p>
    <w:p w14:paraId="651715D3" w14:textId="5A2A4FCB" w:rsidR="00465FDC" w:rsidRPr="00846269" w:rsidRDefault="00862F3D" w:rsidP="00465FDC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846269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مساله چهارم: شمولیت قاعده نسبت به نسب و </w:t>
      </w:r>
    </w:p>
    <w:p w14:paraId="0CF1D8FF" w14:textId="77777777" w:rsidR="00B45E00" w:rsidRPr="00846269" w:rsidRDefault="00B45E00" w:rsidP="00B45E00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فرض این فرع در جایی است که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شخصی بچه ای در خانه دارد و ادعا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کند که این بچه فرزند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او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ست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یا زنی در خانه دارد و ادعا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دارد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زوجه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وی است.</w:t>
      </w:r>
    </w:p>
    <w:p w14:paraId="24441283" w14:textId="38134FB2" w:rsidR="00862F3D" w:rsidRPr="00846269" w:rsidRDefault="00B45E00" w:rsidP="00B45E00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lastRenderedPageBreak/>
        <w:t>حال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اگر دل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یل ما بر قاعده ید، تنها روایات 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و اجماع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باشد،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نمی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توانیم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ثابت کنیم که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آن بچه فرزند یا آن زن زوجه اوست.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زیرا ادله ما تنها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ملکیت است یا اختصاص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را که ثابت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کنند.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روایت داریم (فهو له) این لام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فقط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دلالت بر ملکیت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و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حق اختصاص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دارد </w:t>
      </w:r>
      <w:r w:rsidR="00862F3D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و دلالتی بر زوجیت و امثال آن ندارد. اما 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اگر مدرک ما بناء عقلا باشد که اشکالی هم ندارد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تواند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این موارد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ثابت کند. </w:t>
      </w:r>
      <w:r w:rsidR="00B6771B" w:rsidRPr="00846269">
        <w:rPr>
          <w:rFonts w:ascii="Traditional Arabic" w:hAnsi="Traditional Arabic" w:cs="Traditional Arabic"/>
          <w:color w:val="000080"/>
          <w:sz w:val="26"/>
          <w:szCs w:val="26"/>
          <w:rtl/>
          <w:lang w:bidi="fa-IR"/>
        </w:rPr>
        <w:t>محقق بجنوردی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هم همین مطلب را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فرمای</w:t>
      </w:r>
      <w:r w:rsidR="00B6771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د. </w:t>
      </w:r>
    </w:p>
    <w:p w14:paraId="7F2AA996" w14:textId="77777777" w:rsidR="00B45E00" w:rsidRPr="00846269" w:rsidRDefault="004C209A" w:rsidP="00B45E00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هرچه</w:t>
      </w:r>
      <w:r w:rsidR="00B45E00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B45E00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تا کنون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خواندیم </w:t>
      </w:r>
      <w:r w:rsidR="00B45E00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در جایی بود که شخص خود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می</w:t>
      </w:r>
      <w:r w:rsidR="00B45E00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داند </w:t>
      </w:r>
      <w:r w:rsidR="00B45E00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که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مال متعلق به اوست</w:t>
      </w:r>
      <w:r w:rsidR="00B45E00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اما دیگران شک دارند. </w:t>
      </w:r>
    </w:p>
    <w:p w14:paraId="4EDF64AF" w14:textId="77777777" w:rsidR="00DB5A67" w:rsidRPr="00846269" w:rsidRDefault="00B45E00" w:rsidP="00DB5A6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فرض دیگری که برای قاعده ید متصور استت استیلا بر</w:t>
      </w:r>
      <w:r w:rsidR="004C209A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مالی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است که </w:t>
      </w:r>
      <w:r w:rsidR="004C209A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در خانه کسی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باشد و خود صاحب خانه نیز</w:t>
      </w:r>
      <w:r w:rsidR="004C209A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شک در ملکیت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مال داشته باشد</w:t>
      </w:r>
      <w:r w:rsidR="004C209A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آنچه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که از روایات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فهمیده می شود، شمول روایات بر این موارد است.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مثل موثقه یونس ابن یعقوب که حضرت فرمود: 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>(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...ومن </w:t>
      </w:r>
      <w:r w:rsidR="00A93CCB" w:rsidRPr="00846269">
        <w:rPr>
          <w:rStyle w:val="hilight"/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استولى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 </w:t>
      </w:r>
      <w:r w:rsidR="00A93CCB" w:rsidRPr="00846269">
        <w:rPr>
          <w:rStyle w:val="hilight"/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على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 </w:t>
      </w:r>
      <w:r w:rsidR="00A93CCB" w:rsidRPr="00846269">
        <w:rPr>
          <w:rStyle w:val="hilight"/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>شئ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  <w:rtl/>
        </w:rPr>
        <w:t xml:space="preserve"> منه فهو له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26"/>
          <w:szCs w:val="26"/>
        </w:rPr>
        <w:t>.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>)</w:t>
      </w:r>
      <w:r w:rsidR="00A93CCB" w:rsidRPr="00846269">
        <w:rPr>
          <w:rStyle w:val="FootnoteReference"/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footnoteReference w:id="2"/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 xml:space="preserve"> 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اگرچه فرد غالب شک، شک دیگران است لکن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روایت 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شک</w:t>
      </w:r>
      <w:r w:rsidR="00A93CCB" w:rsidRPr="00846269">
        <w:rPr>
          <w:rFonts w:ascii="Traditional Arabic" w:hAnsi="Traditional Arabic" w:cs="Traditional Arabic"/>
          <w:b/>
          <w:bCs/>
          <w:color w:val="008000"/>
          <w:sz w:val="30"/>
          <w:szCs w:val="30"/>
          <w:rtl/>
          <w:lang w:bidi="ar-AE"/>
        </w:rPr>
        <w:t xml:space="preserve"> 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هایی که 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برای خود شخص نیز بوجود می آید نیز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هم شامل می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شود. محقق بجنوردی در اینجا مناقشه کرده و فرموده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مورد روایت مورد تنازع بین زوجین است و حضرت در مقام قضاوت این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مطلب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را فرموده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لذا</w:t>
      </w:r>
      <w:r w:rsidR="00DB5A67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روایت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اطلاق ندارد </w:t>
      </w:r>
      <w:r w:rsidR="00DB5A67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تا شامل موارد غیر تنازع نیز گردد</w:t>
      </w:r>
      <w:r w:rsidR="00A93CCB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.</w:t>
      </w:r>
    </w:p>
    <w:p w14:paraId="5DC2F155" w14:textId="23E0BDF6" w:rsidR="00B6771B" w:rsidRPr="00846269" w:rsidRDefault="00A93CCB" w:rsidP="00DB5A6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جواب ما این است که مورد</w:t>
      </w:r>
      <w:r w:rsidR="00DB5A67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مخصص نیست. مثل جایی </w:t>
      </w:r>
      <w:r w:rsidR="00DB5A67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که</w:t>
      </w:r>
      <w:r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زراره در باره چاه خانه خودش از امام سوال کرده ولی جواب امام کل</w:t>
      </w:r>
      <w:r w:rsidR="00DB5A67" w:rsidRPr="00846269">
        <w:rPr>
          <w:rFonts w:ascii="Traditional Arabic" w:hAnsi="Traditional Arabic" w:cs="Traditional Arabic"/>
          <w:sz w:val="26"/>
          <w:szCs w:val="26"/>
          <w:rtl/>
          <w:lang w:bidi="fa-IR"/>
        </w:rPr>
        <w:t>ی است و مختص به مورد سوال نیست.</w:t>
      </w:r>
    </w:p>
    <w:sectPr w:rsidR="00B6771B" w:rsidRPr="00846269" w:rsidSect="00381C86">
      <w:headerReference w:type="default" r:id="rId8"/>
      <w:pgSz w:w="11906" w:h="16838"/>
      <w:pgMar w:top="1440" w:right="1440" w:bottom="1440" w:left="1440" w:header="708" w:footer="708" w:gutter="0"/>
      <w:pgNumType w:start="10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B9F6F" w14:textId="77777777" w:rsidR="006647E6" w:rsidRDefault="006647E6" w:rsidP="00CF2919">
      <w:pPr>
        <w:spacing w:after="0" w:line="240" w:lineRule="auto"/>
      </w:pPr>
      <w:r>
        <w:separator/>
      </w:r>
    </w:p>
  </w:endnote>
  <w:endnote w:type="continuationSeparator" w:id="0">
    <w:p w14:paraId="6E419649" w14:textId="77777777" w:rsidR="006647E6" w:rsidRDefault="006647E6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B8E3" w14:textId="77777777" w:rsidR="006647E6" w:rsidRDefault="006647E6" w:rsidP="00CF2919">
      <w:pPr>
        <w:spacing w:after="0" w:line="240" w:lineRule="auto"/>
      </w:pPr>
      <w:r>
        <w:separator/>
      </w:r>
    </w:p>
  </w:footnote>
  <w:footnote w:type="continuationSeparator" w:id="0">
    <w:p w14:paraId="4A182EE5" w14:textId="77777777" w:rsidR="006647E6" w:rsidRDefault="006647E6" w:rsidP="00CF2919">
      <w:pPr>
        <w:spacing w:after="0" w:line="240" w:lineRule="auto"/>
      </w:pPr>
      <w:r>
        <w:continuationSeparator/>
      </w:r>
    </w:p>
  </w:footnote>
  <w:footnote w:id="1">
    <w:p w14:paraId="2D668D80" w14:textId="311463AC" w:rsidR="000D611E" w:rsidRPr="00846269" w:rsidRDefault="006647E6" w:rsidP="000D611E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hyperlink r:id="rId1" w:history="1">
        <w:r w:rsidR="000D611E" w:rsidRPr="00846269">
          <w:rPr>
            <w:rStyle w:val="Hyperlink"/>
            <w:rFonts w:ascii="Traditional Arabic" w:hAnsi="Traditional Arabic" w:cs="Traditional Arabic"/>
            <w:vertAlign w:val="superscript"/>
          </w:rPr>
          <w:footnoteRef/>
        </w:r>
        <w:r w:rsidR="000D611E" w:rsidRPr="00846269">
          <w:rPr>
            <w:rStyle w:val="Hyperlink"/>
            <w:rFonts w:ascii="Traditional Arabic" w:hAnsi="Traditional Arabic" w:cs="Traditional Arabic"/>
          </w:rPr>
          <w:t xml:space="preserve"> </w:t>
        </w:r>
        <w:r w:rsidR="000D611E" w:rsidRPr="00846269">
          <w:rPr>
            <w:rStyle w:val="Hyperlink"/>
            <w:rFonts w:ascii="Traditional Arabic" w:hAnsi="Traditional Arabic" w:cs="Traditional Arabic"/>
            <w:rtl/>
            <w:lang w:bidi="fa-IR"/>
          </w:rPr>
          <w:t xml:space="preserve">- </w:t>
        </w:r>
        <w:r w:rsidR="000D611E" w:rsidRPr="00846269">
          <w:rPr>
            <w:rStyle w:val="Hyperlink"/>
            <w:rFonts w:ascii="Traditional Arabic" w:hAnsi="Traditional Arabic" w:cs="Traditional Arabic"/>
            <w:rtl/>
          </w:rPr>
          <w:t>وسائل الشيعة -الإسلامية</w:t>
        </w:r>
        <w:r w:rsidR="000D611E" w:rsidRPr="00846269">
          <w:rPr>
            <w:rStyle w:val="Hyperlink"/>
            <w:rFonts w:ascii="Traditional Arabic" w:hAnsi="Traditional Arabic" w:cs="Traditional Arabic"/>
          </w:rPr>
          <w:t> -</w:t>
        </w:r>
        <w:r w:rsidR="000D611E" w:rsidRPr="00846269">
          <w:rPr>
            <w:rStyle w:val="Hyperlink"/>
            <w:rFonts w:ascii="Traditional Arabic" w:hAnsi="Traditional Arabic" w:cs="Traditional Arabic"/>
            <w:rtl/>
          </w:rPr>
          <w:t>الشيخ الحر العاملي</w:t>
        </w:r>
        <w:r w:rsidR="000D611E" w:rsidRPr="00846269">
          <w:rPr>
            <w:rStyle w:val="Hyperlink"/>
            <w:rFonts w:ascii="Traditional Arabic" w:hAnsi="Traditional Arabic" w:cs="Traditional Arabic"/>
          </w:rPr>
          <w:t>-</w:t>
        </w:r>
        <w:r w:rsidR="000D611E" w:rsidRPr="00846269">
          <w:rPr>
            <w:rStyle w:val="Hyperlink"/>
            <w:rFonts w:ascii="Traditional Arabic" w:hAnsi="Traditional Arabic" w:cs="Traditional Arabic"/>
            <w:rtl/>
          </w:rPr>
          <w:t>جلد17</w:t>
        </w:r>
        <w:r w:rsidR="000D611E" w:rsidRPr="00846269">
          <w:rPr>
            <w:rStyle w:val="Hyperlink"/>
            <w:rFonts w:ascii="Traditional Arabic" w:hAnsi="Traditional Arabic" w:cs="Traditional Arabic"/>
          </w:rPr>
          <w:t xml:space="preserve"> </w:t>
        </w:r>
        <w:r w:rsidR="000D611E" w:rsidRPr="00846269">
          <w:rPr>
            <w:rStyle w:val="Hyperlink"/>
            <w:rFonts w:ascii="Traditional Arabic" w:hAnsi="Traditional Arabic" w:cs="Traditional Arabic"/>
            <w:rtl/>
          </w:rPr>
          <w:t>صفحه525</w:t>
        </w:r>
      </w:hyperlink>
    </w:p>
  </w:footnote>
  <w:footnote w:id="2">
    <w:p w14:paraId="516A5010" w14:textId="77777777" w:rsidR="00A93CCB" w:rsidRPr="000D611E" w:rsidRDefault="006647E6" w:rsidP="00A93CCB">
      <w:pPr>
        <w:pStyle w:val="FootnoteText"/>
        <w:bidi/>
        <w:rPr>
          <w:rFonts w:cs="B Nazanin"/>
          <w:rtl/>
          <w:lang w:bidi="fa-IR"/>
        </w:rPr>
      </w:pPr>
      <w:hyperlink r:id="rId2" w:history="1">
        <w:r w:rsidR="00A93CCB" w:rsidRPr="000D611E">
          <w:rPr>
            <w:rStyle w:val="Hyperlink"/>
            <w:rFonts w:cs="B Nazanin"/>
            <w:vertAlign w:val="superscript"/>
          </w:rPr>
          <w:footnoteRef/>
        </w:r>
        <w:r w:rsidR="00A93CCB" w:rsidRPr="000D611E">
          <w:rPr>
            <w:rStyle w:val="Hyperlink"/>
            <w:rFonts w:cs="B Nazanin"/>
          </w:rPr>
          <w:t xml:space="preserve"> </w:t>
        </w:r>
        <w:r w:rsidR="00A93CCB" w:rsidRPr="000D611E">
          <w:rPr>
            <w:rStyle w:val="Hyperlink"/>
            <w:rFonts w:cs="B Nazanin" w:hint="cs"/>
            <w:rtl/>
            <w:lang w:bidi="fa-IR"/>
          </w:rPr>
          <w:t xml:space="preserve">- </w:t>
        </w:r>
        <w:r w:rsidR="00A93CCB" w:rsidRPr="000D611E">
          <w:rPr>
            <w:rStyle w:val="Hyperlink"/>
            <w:rFonts w:cs="B Nazanin"/>
            <w:rtl/>
          </w:rPr>
          <w:t>وسائل الشيعة -الإسلامية</w:t>
        </w:r>
        <w:r w:rsidR="00A93CCB" w:rsidRPr="000D611E">
          <w:rPr>
            <w:rStyle w:val="Hyperlink"/>
            <w:rFonts w:cs="B Nazanin"/>
          </w:rPr>
          <w:t> -</w:t>
        </w:r>
        <w:r w:rsidR="00A93CCB" w:rsidRPr="000D611E">
          <w:rPr>
            <w:rStyle w:val="Hyperlink"/>
            <w:rFonts w:cs="B Nazanin"/>
            <w:rtl/>
          </w:rPr>
          <w:t>الشيخ الحر العاملي</w:t>
        </w:r>
        <w:r w:rsidR="00A93CCB" w:rsidRPr="000D611E">
          <w:rPr>
            <w:rStyle w:val="Hyperlink"/>
            <w:rFonts w:cs="B Nazanin"/>
          </w:rPr>
          <w:t>-</w:t>
        </w:r>
        <w:r w:rsidR="00A93CCB" w:rsidRPr="000D611E">
          <w:rPr>
            <w:rStyle w:val="Hyperlink"/>
            <w:rFonts w:cs="B Nazanin"/>
            <w:rtl/>
          </w:rPr>
          <w:t>جلد</w:t>
        </w:r>
        <w:r w:rsidR="00A93CCB" w:rsidRPr="000D611E">
          <w:rPr>
            <w:rStyle w:val="Hyperlink"/>
            <w:rFonts w:cs="B Nazanin" w:hint="cs"/>
            <w:rtl/>
          </w:rPr>
          <w:t>17</w:t>
        </w:r>
        <w:r w:rsidR="00A93CCB" w:rsidRPr="000D611E">
          <w:rPr>
            <w:rStyle w:val="Hyperlink"/>
            <w:rFonts w:cs="B Nazanin"/>
          </w:rPr>
          <w:t xml:space="preserve"> </w:t>
        </w:r>
        <w:r w:rsidR="00A93CCB" w:rsidRPr="000D611E">
          <w:rPr>
            <w:rStyle w:val="Hyperlink"/>
            <w:rFonts w:cs="B Nazanin"/>
            <w:rtl/>
          </w:rPr>
          <w:t>صفحه</w:t>
        </w:r>
        <w:r w:rsidR="00A93CCB" w:rsidRPr="000D611E">
          <w:rPr>
            <w:rStyle w:val="Hyperlink"/>
            <w:rFonts w:cs="B Nazanin" w:hint="cs"/>
            <w:rtl/>
          </w:rPr>
          <w:t>525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3F6D" w14:textId="2B17B697" w:rsidR="004B4568" w:rsidRDefault="004B4568" w:rsidP="004B4568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سه</w:t>
    </w:r>
    <w:r>
      <w:rPr>
        <w:rFonts w:ascii="Traditional Arabic" w:hAnsi="Traditional Arabic" w:cs="Traditional Arabic" w:hint="cs"/>
        <w:rtl/>
      </w:rPr>
      <w:t xml:space="preserve"> </w:t>
    </w:r>
    <w:r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25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12</w:t>
    </w:r>
    <w:r>
      <w:rPr>
        <w:rFonts w:ascii="Traditional Arabic" w:hAnsi="Traditional Arabic" w:cs="Traditional Arabic"/>
        <w:rtl/>
      </w:rPr>
      <w:t>/1394</w:t>
    </w:r>
  </w:p>
  <w:p w14:paraId="2006CD0E" w14:textId="1EB71C1D" w:rsidR="004D6574" w:rsidRPr="004B4568" w:rsidRDefault="004D6574" w:rsidP="004B4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57BCF"/>
    <w:rsid w:val="00361DFF"/>
    <w:rsid w:val="00362B08"/>
    <w:rsid w:val="00365A9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E7DD8"/>
    <w:rsid w:val="003F28C2"/>
    <w:rsid w:val="003F3A77"/>
    <w:rsid w:val="0040088C"/>
    <w:rsid w:val="00414949"/>
    <w:rsid w:val="004161E9"/>
    <w:rsid w:val="004164D7"/>
    <w:rsid w:val="00421217"/>
    <w:rsid w:val="004248BE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B4568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30E7C"/>
    <w:rsid w:val="005318D4"/>
    <w:rsid w:val="00532AA5"/>
    <w:rsid w:val="005365EF"/>
    <w:rsid w:val="00541FDD"/>
    <w:rsid w:val="00542CB4"/>
    <w:rsid w:val="00545136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7E6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E7047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269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B7085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5E00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C4C"/>
    <w:rsid w:val="00BF6FA3"/>
    <w:rsid w:val="00C0025C"/>
    <w:rsid w:val="00C00B6F"/>
    <w:rsid w:val="00C03680"/>
    <w:rsid w:val="00C03845"/>
    <w:rsid w:val="00C05012"/>
    <w:rsid w:val="00C113B0"/>
    <w:rsid w:val="00C124C7"/>
    <w:rsid w:val="00C14E4C"/>
    <w:rsid w:val="00C2003C"/>
    <w:rsid w:val="00C23296"/>
    <w:rsid w:val="00C33FB1"/>
    <w:rsid w:val="00C409F7"/>
    <w:rsid w:val="00C44FB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2919"/>
    <w:rsid w:val="00CF7FDF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A67"/>
    <w:rsid w:val="00DC4181"/>
    <w:rsid w:val="00DC4C2C"/>
    <w:rsid w:val="00DC7DB3"/>
    <w:rsid w:val="00DD3B47"/>
    <w:rsid w:val="00DD3F6A"/>
    <w:rsid w:val="00DE39CC"/>
    <w:rsid w:val="00DE6597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9195E"/>
    <w:rsid w:val="00FA4350"/>
    <w:rsid w:val="00FA5C2A"/>
    <w:rsid w:val="00FB6971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1024/17/525/&#1575;&#1587;&#1578;&#1608;&#1604;&#1740;" TargetMode="External"/><Relationship Id="rId1" Type="http://schemas.openxmlformats.org/officeDocument/2006/relationships/hyperlink" Target="http://lib.eshia.ir/11024/17/525/&#1575;&#1587;&#1578;&#1608;&#1604;&#174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D99E-F432-45C8-B36E-8B23D8A9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8</cp:revision>
  <dcterms:created xsi:type="dcterms:W3CDTF">2016-04-16T02:01:00Z</dcterms:created>
  <dcterms:modified xsi:type="dcterms:W3CDTF">2016-04-29T14:38:00Z</dcterms:modified>
</cp:coreProperties>
</file>