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DD3" w:rsidRDefault="009F0BD8" w:rsidP="00A64DD3">
      <w:pPr>
        <w:widowControl w:val="0"/>
        <w:shd w:val="clear" w:color="auto" w:fill="FFFFFF"/>
        <w:autoSpaceDE w:val="0"/>
        <w:autoSpaceDN w:val="0"/>
        <w:bidi w:val="0"/>
        <w:adjustRightInd w:val="0"/>
        <w:spacing w:after="0" w:line="240" w:lineRule="auto"/>
        <w:rPr>
          <w:rFonts w:ascii="Arial" w:hAnsi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>
                <wp:simplePos x="0" y="0"/>
                <wp:positionH relativeFrom="margin">
                  <wp:posOffset>-321310</wp:posOffset>
                </wp:positionH>
                <wp:positionV relativeFrom="margin">
                  <wp:posOffset>-629920</wp:posOffset>
                </wp:positionV>
                <wp:extent cx="7385685" cy="4221480"/>
                <wp:effectExtent l="0" t="0" r="0" b="0"/>
                <wp:wrapSquare wrapText="bothSides"/>
                <wp:docPr id="3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385685" cy="422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:rsidR="00A64DD3" w:rsidRDefault="001139AD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 xml:space="preserve">                          </w:t>
                            </w:r>
                            <w:r w:rsidR="00A64DD3"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استخراج  جریانات نقدی  عملیاتی از درآمد شرکت  واتر</w:t>
                            </w: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 xml:space="preserve">                                  جدول( 7.7)</w:t>
                            </w:r>
                          </w:p>
                          <w:p w:rsid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</w:rPr>
                            </w:pPr>
                          </w:p>
                          <w:p w:rsidR="00A64DD3" w:rsidRDefault="00A64DD3" w:rsidP="00C16CD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</w:rPr>
                              <w:t> </w:t>
                            </w:r>
                            <w:r w:rsidR="00C16CD6"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 xml:space="preserve">بخش                 </w:t>
                            </w: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 xml:space="preserve">                           </w:t>
                            </w:r>
                            <w:r w:rsidR="00C16CD6"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 xml:space="preserve">      </w:t>
                            </w: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مقدار(در هزار)</w:t>
                            </w: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ab/>
                              <w:t>توضیح</w:t>
                            </w:r>
                          </w:p>
                          <w:tbl>
                            <w:tblPr>
                              <w:bidiVisual/>
                              <w:tblW w:w="1050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419"/>
                              <w:gridCol w:w="994"/>
                              <w:gridCol w:w="6096"/>
                            </w:tblGrid>
                            <w:tr w:rsidR="000D10BF" w:rsidRPr="00A64DD3" w:rsidTr="002173E0">
                              <w:tc>
                                <w:tcPr>
                                  <w:tcW w:w="3419" w:type="dxa"/>
                                  <w:tcBorders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A64DD3" w:rsidRPr="00A64DD3" w:rsidRDefault="00A64DD3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</w:rPr>
                                  </w:pPr>
                                  <w:r w:rsidRPr="00A64DD3"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درآمد خالص بر مبنای تعهدی</w:t>
                                  </w:r>
                                </w:p>
                                <w:p w:rsidR="00A64DD3" w:rsidRPr="00A64DD3" w:rsidRDefault="00A64DD3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left w:val="single" w:sz="4" w:space="0" w:color="FFFFFF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A64DD3" w:rsidRPr="00A64DD3" w:rsidRDefault="000D10BF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951 دلار</w:t>
                                  </w:r>
                                </w:p>
                              </w:tc>
                              <w:tc>
                                <w:tcPr>
                                  <w:tcW w:w="6096" w:type="dxa"/>
                                  <w:tcBorders>
                                    <w:left w:val="single" w:sz="4" w:space="0" w:color="FFFFFF"/>
                                    <w:bottom w:val="single" w:sz="4" w:space="0" w:color="FFFFFF" w:themeColor="background1"/>
                                  </w:tcBorders>
                                </w:tcPr>
                                <w:p w:rsidR="000D10BF" w:rsidRDefault="000D10BF" w:rsidP="000D10BF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 xml:space="preserve">نقطه شروع برای تبدیل </w:t>
                                  </w:r>
                                </w:p>
                                <w:p w:rsidR="00A64DD3" w:rsidRPr="00A64DD3" w:rsidRDefault="00A64DD3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D10BF" w:rsidRPr="00A64DD3" w:rsidTr="002173E0">
                              <w:tc>
                                <w:tcPr>
                                  <w:tcW w:w="3419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A64DD3" w:rsidRPr="00A64DD3" w:rsidRDefault="00A64DD3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</w:rPr>
                                  </w:pPr>
                                  <w:r w:rsidRPr="00A64DD3"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افزایش (کسر) تعدیل بر مبنای نقدی</w:t>
                                  </w:r>
                                  <w:r w:rsidRPr="00A64DD3"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  <w:p w:rsidR="00A64DD3" w:rsidRPr="00A64DD3" w:rsidRDefault="00A64DD3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A64DD3" w:rsidRPr="00A64DD3" w:rsidRDefault="00A64DD3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9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  <w:bottom w:val="single" w:sz="4" w:space="0" w:color="FFFFFF" w:themeColor="background1"/>
                                  </w:tcBorders>
                                </w:tcPr>
                                <w:p w:rsidR="00A64DD3" w:rsidRPr="00A64DD3" w:rsidRDefault="00A64DD3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D10BF" w:rsidRPr="00A64DD3" w:rsidTr="002173E0">
                              <w:tc>
                                <w:tcPr>
                                  <w:tcW w:w="3419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A64DD3" w:rsidRPr="00A64DD3" w:rsidRDefault="00A64DD3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</w:rPr>
                                  </w:pPr>
                                  <w:r w:rsidRPr="00A64DD3"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استهلاک</w:t>
                                  </w:r>
                                </w:p>
                                <w:p w:rsidR="00A64DD3" w:rsidRPr="00A64DD3" w:rsidRDefault="00A64DD3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A64DD3" w:rsidRPr="00A64DD3" w:rsidRDefault="000D10BF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360</w:t>
                                  </w:r>
                                </w:p>
                              </w:tc>
                              <w:tc>
                                <w:tcPr>
                                  <w:tcW w:w="609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  <w:bottom w:val="single" w:sz="4" w:space="0" w:color="FFFFFF" w:themeColor="background1"/>
                                  </w:tcBorders>
                                </w:tcPr>
                                <w:p w:rsidR="00121021" w:rsidRDefault="00121021" w:rsidP="00121021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استهلاک خروج پول نقد ندارد</w:t>
                                  </w: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A64DD3" w:rsidRPr="00A64DD3" w:rsidRDefault="00A64DD3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D10BF" w:rsidRPr="00A64DD3" w:rsidTr="002173E0">
                              <w:tc>
                                <w:tcPr>
                                  <w:tcW w:w="3419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A64DD3" w:rsidRPr="00A64DD3" w:rsidRDefault="00A64DD3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</w:rPr>
                                  </w:pPr>
                                  <w:r w:rsidRPr="00A64DD3"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استهلاک داراییهای نامشهود</w:t>
                                  </w:r>
                                </w:p>
                                <w:p w:rsidR="00A64DD3" w:rsidRPr="00A64DD3" w:rsidRDefault="00A64DD3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A64DD3" w:rsidRPr="00A64DD3" w:rsidRDefault="000D10BF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609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  <w:bottom w:val="single" w:sz="4" w:space="0" w:color="FFFFFF" w:themeColor="background1"/>
                                  </w:tcBorders>
                                </w:tcPr>
                                <w:p w:rsidR="00121021" w:rsidRDefault="00121021" w:rsidP="00121021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 xml:space="preserve">استهلاک داراییهای نامشهود خروج پول نقدندارد </w:t>
                                  </w:r>
                                </w:p>
                                <w:p w:rsidR="00A64DD3" w:rsidRPr="00A64DD3" w:rsidRDefault="00A64DD3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D10BF" w:rsidRPr="00A64DD3" w:rsidTr="002173E0">
                              <w:tc>
                                <w:tcPr>
                                  <w:tcW w:w="3419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A64DD3" w:rsidRPr="00A64DD3" w:rsidRDefault="00A64DD3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</w:rPr>
                                  </w:pPr>
                                  <w:r w:rsidRPr="00A64DD3"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مالیات بر درآمد معوق</w:t>
                                  </w:r>
                                </w:p>
                                <w:p w:rsidR="00A64DD3" w:rsidRPr="00A64DD3" w:rsidRDefault="00A64DD3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A64DD3" w:rsidRPr="00A64DD3" w:rsidRDefault="000D10BF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609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  <w:bottom w:val="single" w:sz="4" w:space="0" w:color="FFFFFF" w:themeColor="background1"/>
                                  </w:tcBorders>
                                </w:tcPr>
                                <w:p w:rsidR="00A64DD3" w:rsidRPr="00A64DD3" w:rsidRDefault="00CB4DB1" w:rsidP="00CB4DB1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هزینه معوق خروج پول نقد ندارد</w:t>
                                  </w:r>
                                </w:p>
                              </w:tc>
                            </w:tr>
                            <w:tr w:rsidR="000D10BF" w:rsidRPr="00A64DD3" w:rsidTr="002173E0">
                              <w:tc>
                                <w:tcPr>
                                  <w:tcW w:w="3419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A64DD3" w:rsidRPr="00A64DD3" w:rsidRDefault="00A64DD3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</w:rPr>
                                  </w:pPr>
                                  <w:r w:rsidRPr="00A64DD3"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حقوق صاحبان سهام از درآمد وابسته</w:t>
                                  </w:r>
                                </w:p>
                                <w:p w:rsidR="00A64DD3" w:rsidRPr="00A64DD3" w:rsidRDefault="00A64DD3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A64DD3" w:rsidRPr="00A64DD3" w:rsidRDefault="000D10BF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(50)</w:t>
                                  </w:r>
                                </w:p>
                              </w:tc>
                              <w:tc>
                                <w:tcPr>
                                  <w:tcW w:w="609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  <w:bottom w:val="single" w:sz="4" w:space="0" w:color="FFFFFF" w:themeColor="background1"/>
                                  </w:tcBorders>
                                </w:tcPr>
                                <w:p w:rsidR="00A64DD3" w:rsidRPr="00A64DD3" w:rsidRDefault="003D1E61" w:rsidP="003D1E61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صرف سهام جریان وجوه نقد نیست</w:t>
                                  </w:r>
                                </w:p>
                              </w:tc>
                            </w:tr>
                            <w:tr w:rsidR="000D10BF" w:rsidRPr="00A64DD3" w:rsidTr="002173E0">
                              <w:tc>
                                <w:tcPr>
                                  <w:tcW w:w="3419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A64DD3" w:rsidRPr="00A64DD3" w:rsidRDefault="00A64DD3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</w:rPr>
                                  </w:pPr>
                                  <w:r w:rsidRPr="00A64DD3"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سود غیر عملیاتی از فروش تجهیزات</w:t>
                                  </w:r>
                                </w:p>
                                <w:p w:rsidR="00A64DD3" w:rsidRPr="00A64DD3" w:rsidRDefault="00A64DD3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A64DD3" w:rsidRPr="00A64DD3" w:rsidRDefault="000D10BF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(2)</w:t>
                                  </w:r>
                                </w:p>
                              </w:tc>
                              <w:tc>
                                <w:tcPr>
                                  <w:tcW w:w="609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  <w:bottom w:val="single" w:sz="4" w:space="0" w:color="FFFFFF" w:themeColor="background1"/>
                                  </w:tcBorders>
                                </w:tcPr>
                                <w:p w:rsidR="003D1E61" w:rsidRDefault="003D1E61" w:rsidP="00437AA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حذف  سود غیر عملیاتی  (زیراغیر عملیاتی است)جریان وجوه</w:t>
                                  </w: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 xml:space="preserve">نقدی </w:t>
                                  </w:r>
                                  <w:r w:rsidR="00437AA9"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،هست وجوه نقد حاصل از فعالیت های سرمایه گذاری</w:t>
                                  </w:r>
                                </w:p>
                                <w:p w:rsidR="00A64DD3" w:rsidRPr="00A64DD3" w:rsidRDefault="00A64DD3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D10BF" w:rsidRPr="00A64DD3" w:rsidTr="002173E0">
                              <w:tc>
                                <w:tcPr>
                                  <w:tcW w:w="3419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0D10BF" w:rsidRDefault="000D10BF" w:rsidP="000D10BF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 xml:space="preserve">افزایش در مطالبات  </w:t>
                                  </w:r>
                                </w:p>
                                <w:p w:rsidR="00A64DD3" w:rsidRPr="00A64DD3" w:rsidRDefault="00A64DD3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A64DD3" w:rsidRPr="00A64DD3" w:rsidRDefault="000D10BF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(90)</w:t>
                                  </w:r>
                                </w:p>
                              </w:tc>
                              <w:tc>
                                <w:tcPr>
                                  <w:tcW w:w="609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  <w:bottom w:val="single" w:sz="4" w:space="0" w:color="FFFFFF" w:themeColor="background1"/>
                                  </w:tcBorders>
                                </w:tcPr>
                                <w:p w:rsidR="00437AA9" w:rsidRDefault="00437AA9" w:rsidP="00437AA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 xml:space="preserve">جریان های نقدی حاصل از فروش ،کمتر از فروش اقلام تعهدی است. </w:t>
                                  </w:r>
                                </w:p>
                                <w:p w:rsidR="00A64DD3" w:rsidRPr="00A64DD3" w:rsidRDefault="00A64DD3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D10BF" w:rsidRPr="00A64DD3" w:rsidTr="002173E0">
                              <w:tc>
                                <w:tcPr>
                                  <w:tcW w:w="3419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0D10BF" w:rsidRPr="00A64DD3" w:rsidRDefault="000D10BF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افزایش در موجودی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0D10BF" w:rsidRPr="00A64DD3" w:rsidRDefault="000D10BF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(303)</w:t>
                                  </w:r>
                                </w:p>
                              </w:tc>
                              <w:tc>
                                <w:tcPr>
                                  <w:tcW w:w="609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  <w:bottom w:val="single" w:sz="4" w:space="0" w:color="FFFFFF" w:themeColor="background1"/>
                                  </w:tcBorders>
                                </w:tcPr>
                                <w:p w:rsidR="00437AA9" w:rsidRDefault="00437AA9" w:rsidP="00026457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 xml:space="preserve">خروج </w:t>
                                  </w:r>
                                  <w:r w:rsidR="00026457"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 xml:space="preserve">وجوه </w:t>
                                  </w: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 xml:space="preserve">نقد برای موجودی بیش از </w:t>
                                  </w:r>
                                  <w:r w:rsidR="00026457"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 xml:space="preserve">هزینه موجودی اقلام تعهدی شاملهزینه فروش رفته است </w:t>
                                  </w:r>
                                </w:p>
                                <w:p w:rsidR="000D10BF" w:rsidRPr="00A64DD3" w:rsidRDefault="000D10BF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D10BF" w:rsidRPr="00A64DD3" w:rsidTr="002173E0">
                              <w:tc>
                                <w:tcPr>
                                  <w:tcW w:w="3419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0D10BF" w:rsidRDefault="000D10BF" w:rsidP="000D10BF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افزایش در حساب های قابل پرداخت</w:t>
                                  </w:r>
                                </w:p>
                                <w:p w:rsidR="000D10BF" w:rsidRPr="00A64DD3" w:rsidRDefault="000D10BF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  <w:bottom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0D10BF" w:rsidRPr="00A64DD3" w:rsidRDefault="000D10BF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230</w:t>
                                  </w:r>
                                </w:p>
                              </w:tc>
                              <w:tc>
                                <w:tcPr>
                                  <w:tcW w:w="609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  <w:bottom w:val="single" w:sz="4" w:space="0" w:color="FFFFFF" w:themeColor="background1"/>
                                  </w:tcBorders>
                                </w:tcPr>
                                <w:p w:rsidR="000D10BF" w:rsidRPr="00A64DD3" w:rsidRDefault="00E25984" w:rsidP="00E25984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 xml:space="preserve"> خروج وجوه نقد برای خرید (شامل در بهای تمام شده  کالاهای فروخته رفته) از هزینه خرید تعهدی کمتر است</w:t>
                                  </w:r>
                                </w:p>
                              </w:tc>
                            </w:tr>
                            <w:tr w:rsidR="000D10BF" w:rsidRPr="00A64DD3" w:rsidTr="002173E0">
                              <w:trPr>
                                <w:trHeight w:val="419"/>
                              </w:trPr>
                              <w:tc>
                                <w:tcPr>
                                  <w:tcW w:w="3419" w:type="dxa"/>
                                  <w:tcBorders>
                                    <w:top w:val="single" w:sz="4" w:space="0" w:color="FFFFFF" w:themeColor="background1"/>
                                    <w:right w:val="single" w:sz="4" w:space="0" w:color="FFFFFF"/>
                                  </w:tcBorders>
                                </w:tcPr>
                                <w:p w:rsidR="000D10BF" w:rsidRDefault="000D10BF" w:rsidP="000D10BF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جریان وجوه نقد عملیاتی (جدول 7.6)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0D10BF" w:rsidRPr="00A64DD3" w:rsidRDefault="000D10BF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1146 دلار</w:t>
                                  </w:r>
                                </w:p>
                              </w:tc>
                              <w:tc>
                                <w:tcPr>
                                  <w:tcW w:w="6096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/>
                                  </w:tcBorders>
                                </w:tcPr>
                                <w:p w:rsidR="000D10BF" w:rsidRPr="00A64DD3" w:rsidRDefault="000D10BF" w:rsidP="00A64DD3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</w:rPr>
                            </w:pPr>
                          </w:p>
                          <w:p w:rsidR="00A64DD3" w:rsidRDefault="00A64DD3" w:rsidP="00C16CD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26" style="position:absolute;margin-left:-25.3pt;margin-top:-49.6pt;width:581.55pt;height:332.4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" o:allowincell="f" strokecolor="#7f7f7f" strokeweight="1.5pt">
                <v:shadow on="t" type="perspective" color="black" opacity="26213f" origin="-.5,-.5" offset=".74836mm,.74836mm" matrix="65864f,,,65864f"/>
                <v:textbox inset="21.6pt,21.6pt,21.6pt,21.6pt">
                  <w:txbxContent>
                    <w:p w:rsidR="00A64DD3" w:rsidRDefault="001139AD" w:rsidP="00A64DD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 2" w:hAnsi="MS Shell Dlg 2" w:cs="MS Shell Dlg 2"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ascii="MS Shell Dlg 2" w:hAnsi="MS Shell Dlg 2" w:cs="MS Shell Dlg 2"/>
                          <w:sz w:val="18"/>
                          <w:szCs w:val="18"/>
                          <w:rtl/>
                        </w:rPr>
                        <w:t xml:space="preserve">                          </w:t>
                      </w:r>
                      <w:r w:rsidR="00A64DD3">
                        <w:rPr>
                          <w:rFonts w:ascii="MS Shell Dlg 2" w:hAnsi="MS Shell Dlg 2" w:cs="MS Shell Dlg 2"/>
                          <w:sz w:val="18"/>
                          <w:szCs w:val="18"/>
                          <w:rtl/>
                        </w:rPr>
                        <w:t>استخراج  جریانات نقدی  عملیاتی از درآمد شرکت  واتر</w:t>
                      </w:r>
                      <w:r>
                        <w:rPr>
                          <w:rFonts w:ascii="MS Shell Dlg 2" w:hAnsi="MS Shell Dlg 2" w:cs="MS Shell Dlg 2"/>
                          <w:sz w:val="18"/>
                          <w:szCs w:val="18"/>
                          <w:rtl/>
                        </w:rPr>
                        <w:t xml:space="preserve">                                  جدول( 7.7)</w:t>
                      </w:r>
                    </w:p>
                    <w:p w:rsidR="00A64DD3" w:rsidRDefault="00A64DD3" w:rsidP="00A64DD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MS Shell Dlg 2" w:hAnsi="MS Shell Dlg 2" w:cs="MS Shell Dlg 2"/>
                          <w:sz w:val="18"/>
                          <w:szCs w:val="18"/>
                        </w:rPr>
                      </w:pPr>
                    </w:p>
                    <w:p w:rsidR="00A64DD3" w:rsidRDefault="00A64DD3" w:rsidP="00C16CD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MS Shell Dlg 2" w:hAnsi="MS Shell Dlg 2" w:cs="MS Shell Dlg 2"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ascii="MS Shell Dlg 2" w:hAnsi="MS Shell Dlg 2" w:cs="MS Shell Dlg 2"/>
                          <w:sz w:val="18"/>
                          <w:szCs w:val="18"/>
                        </w:rPr>
                        <w:t> </w:t>
                      </w:r>
                      <w:r w:rsidR="00C16CD6">
                        <w:rPr>
                          <w:rFonts w:ascii="MS Shell Dlg 2" w:hAnsi="MS Shell Dlg 2" w:cs="MS Shell Dlg 2"/>
                          <w:sz w:val="18"/>
                          <w:szCs w:val="18"/>
                          <w:rtl/>
                        </w:rPr>
                        <w:t xml:space="preserve">بخش                 </w:t>
                      </w:r>
                      <w:r>
                        <w:rPr>
                          <w:rFonts w:ascii="MS Shell Dlg 2" w:hAnsi="MS Shell Dlg 2" w:cs="MS Shell Dlg 2"/>
                          <w:sz w:val="18"/>
                          <w:szCs w:val="18"/>
                          <w:rtl/>
                        </w:rPr>
                        <w:t xml:space="preserve">                           </w:t>
                      </w:r>
                      <w:r w:rsidR="00C16CD6">
                        <w:rPr>
                          <w:rFonts w:ascii="MS Shell Dlg 2" w:hAnsi="MS Shell Dlg 2" w:cs="MS Shell Dlg 2"/>
                          <w:sz w:val="18"/>
                          <w:szCs w:val="18"/>
                          <w:rtl/>
                        </w:rPr>
                        <w:t xml:space="preserve">      </w:t>
                      </w:r>
                      <w:r>
                        <w:rPr>
                          <w:rFonts w:ascii="MS Shell Dlg 2" w:hAnsi="MS Shell Dlg 2" w:cs="MS Shell Dlg 2"/>
                          <w:sz w:val="18"/>
                          <w:szCs w:val="18"/>
                          <w:rtl/>
                        </w:rPr>
                        <w:t>مقدار(در هزار)</w:t>
                      </w:r>
                      <w:r>
                        <w:rPr>
                          <w:rFonts w:ascii="MS Shell Dlg 2" w:hAnsi="MS Shell Dlg 2" w:cs="MS Shell Dlg 2"/>
                          <w:sz w:val="18"/>
                          <w:szCs w:val="18"/>
                          <w:rtl/>
                        </w:rPr>
                        <w:tab/>
                      </w:r>
                      <w:r>
                        <w:rPr>
                          <w:rFonts w:ascii="MS Shell Dlg 2" w:hAnsi="MS Shell Dlg 2" w:cs="MS Shell Dlg 2"/>
                          <w:sz w:val="18"/>
                          <w:szCs w:val="18"/>
                          <w:rtl/>
                        </w:rPr>
                        <w:tab/>
                      </w:r>
                      <w:r>
                        <w:rPr>
                          <w:rFonts w:ascii="MS Shell Dlg 2" w:hAnsi="MS Shell Dlg 2" w:cs="MS Shell Dlg 2"/>
                          <w:sz w:val="18"/>
                          <w:szCs w:val="18"/>
                          <w:rtl/>
                        </w:rPr>
                        <w:tab/>
                      </w:r>
                      <w:r>
                        <w:rPr>
                          <w:rFonts w:ascii="MS Shell Dlg 2" w:hAnsi="MS Shell Dlg 2" w:cs="MS Shell Dlg 2"/>
                          <w:sz w:val="18"/>
                          <w:szCs w:val="18"/>
                          <w:rtl/>
                        </w:rPr>
                        <w:tab/>
                      </w:r>
                      <w:r>
                        <w:rPr>
                          <w:rFonts w:ascii="MS Shell Dlg 2" w:hAnsi="MS Shell Dlg 2" w:cs="MS Shell Dlg 2"/>
                          <w:sz w:val="18"/>
                          <w:szCs w:val="18"/>
                          <w:rtl/>
                        </w:rPr>
                        <w:tab/>
                      </w:r>
                      <w:r>
                        <w:rPr>
                          <w:rFonts w:ascii="MS Shell Dlg 2" w:hAnsi="MS Shell Dlg 2" w:cs="MS Shell Dlg 2"/>
                          <w:sz w:val="18"/>
                          <w:szCs w:val="18"/>
                          <w:rtl/>
                        </w:rPr>
                        <w:tab/>
                        <w:t>توضیح</w:t>
                      </w:r>
                    </w:p>
                    <w:tbl>
                      <w:tblPr>
                        <w:bidiVisual/>
                        <w:tblW w:w="1050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419"/>
                        <w:gridCol w:w="994"/>
                        <w:gridCol w:w="6096"/>
                      </w:tblGrid>
                      <w:tr w:rsidR="000D10BF" w:rsidRPr="00A64DD3" w:rsidTr="002173E0">
                        <w:tc>
                          <w:tcPr>
                            <w:tcW w:w="3419" w:type="dxa"/>
                            <w:tcBorders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A64DD3" w:rsidRP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</w:rPr>
                            </w:pPr>
                            <w:r w:rsidRPr="00A64DD3"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درآمد خالص بر مبنای تعهدی</w:t>
                            </w:r>
                          </w:p>
                          <w:p w:rsidR="00A64DD3" w:rsidRP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tcBorders>
                              <w:left w:val="single" w:sz="4" w:space="0" w:color="FFFFFF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A64DD3" w:rsidRPr="00A64DD3" w:rsidRDefault="000D10BF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951 دلار</w:t>
                            </w:r>
                          </w:p>
                        </w:tc>
                        <w:tc>
                          <w:tcPr>
                            <w:tcW w:w="6096" w:type="dxa"/>
                            <w:tcBorders>
                              <w:left w:val="single" w:sz="4" w:space="0" w:color="FFFFFF"/>
                              <w:bottom w:val="single" w:sz="4" w:space="0" w:color="FFFFFF" w:themeColor="background1"/>
                            </w:tcBorders>
                          </w:tcPr>
                          <w:p w:rsidR="000D10BF" w:rsidRDefault="000D10BF" w:rsidP="000D10B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 xml:space="preserve">نقطه شروع برای تبدیل </w:t>
                            </w:r>
                          </w:p>
                          <w:p w:rsidR="00A64DD3" w:rsidRP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0D10BF" w:rsidRPr="00A64DD3" w:rsidTr="002173E0">
                        <w:tc>
                          <w:tcPr>
                            <w:tcW w:w="3419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A64DD3" w:rsidRP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</w:rPr>
                            </w:pPr>
                            <w:r w:rsidRPr="00A64DD3"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افزایش (کسر) تعدیل بر مبنای نقدی</w:t>
                            </w:r>
                            <w:r w:rsidRPr="00A64DD3"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A64DD3" w:rsidRP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A64DD3" w:rsidRP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096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  <w:bottom w:val="single" w:sz="4" w:space="0" w:color="FFFFFF" w:themeColor="background1"/>
                            </w:tcBorders>
                          </w:tcPr>
                          <w:p w:rsidR="00A64DD3" w:rsidRP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0D10BF" w:rsidRPr="00A64DD3" w:rsidTr="002173E0">
                        <w:tc>
                          <w:tcPr>
                            <w:tcW w:w="3419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A64DD3" w:rsidRP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</w:rPr>
                            </w:pPr>
                            <w:r w:rsidRPr="00A64DD3"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استهلاک</w:t>
                            </w:r>
                          </w:p>
                          <w:p w:rsidR="00A64DD3" w:rsidRP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A64DD3" w:rsidRPr="00A64DD3" w:rsidRDefault="000D10BF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360</w:t>
                            </w:r>
                          </w:p>
                        </w:tc>
                        <w:tc>
                          <w:tcPr>
                            <w:tcW w:w="6096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  <w:bottom w:val="single" w:sz="4" w:space="0" w:color="FFFFFF" w:themeColor="background1"/>
                            </w:tcBorders>
                          </w:tcPr>
                          <w:p w:rsidR="00121021" w:rsidRDefault="00121021" w:rsidP="0012102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استهلاک خروج پول نقد ندارد</w:t>
                            </w: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A64DD3" w:rsidRP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0D10BF" w:rsidRPr="00A64DD3" w:rsidTr="002173E0">
                        <w:tc>
                          <w:tcPr>
                            <w:tcW w:w="3419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A64DD3" w:rsidRP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</w:rPr>
                            </w:pPr>
                            <w:r w:rsidRPr="00A64DD3"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استهلاک داراییهای نامشهود</w:t>
                            </w:r>
                          </w:p>
                          <w:p w:rsidR="00A64DD3" w:rsidRP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A64DD3" w:rsidRPr="00A64DD3" w:rsidRDefault="000D10BF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6096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  <w:bottom w:val="single" w:sz="4" w:space="0" w:color="FFFFFF" w:themeColor="background1"/>
                            </w:tcBorders>
                          </w:tcPr>
                          <w:p w:rsidR="00121021" w:rsidRDefault="00121021" w:rsidP="0012102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 xml:space="preserve">استهلاک داراییهای نامشهود خروج پول نقدندارد </w:t>
                            </w:r>
                          </w:p>
                          <w:p w:rsidR="00A64DD3" w:rsidRP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0D10BF" w:rsidRPr="00A64DD3" w:rsidTr="002173E0">
                        <w:tc>
                          <w:tcPr>
                            <w:tcW w:w="3419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A64DD3" w:rsidRP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</w:rPr>
                            </w:pPr>
                            <w:r w:rsidRPr="00A64DD3"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مالیات بر درآمد معوق</w:t>
                            </w:r>
                          </w:p>
                          <w:p w:rsidR="00A64DD3" w:rsidRP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A64DD3" w:rsidRPr="00A64DD3" w:rsidRDefault="000D10BF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6096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  <w:bottom w:val="single" w:sz="4" w:space="0" w:color="FFFFFF" w:themeColor="background1"/>
                            </w:tcBorders>
                          </w:tcPr>
                          <w:p w:rsidR="00A64DD3" w:rsidRPr="00A64DD3" w:rsidRDefault="00CB4DB1" w:rsidP="00CB4DB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هزینه معوق خروج پول نقد ندارد</w:t>
                            </w:r>
                          </w:p>
                        </w:tc>
                      </w:tr>
                      <w:tr w:rsidR="000D10BF" w:rsidRPr="00A64DD3" w:rsidTr="002173E0">
                        <w:tc>
                          <w:tcPr>
                            <w:tcW w:w="3419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A64DD3" w:rsidRP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</w:rPr>
                            </w:pPr>
                            <w:r w:rsidRPr="00A64DD3"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حقوق صاحبان سهام از درآمد وابسته</w:t>
                            </w:r>
                          </w:p>
                          <w:p w:rsidR="00A64DD3" w:rsidRP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A64DD3" w:rsidRPr="00A64DD3" w:rsidRDefault="000D10BF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(50)</w:t>
                            </w:r>
                          </w:p>
                        </w:tc>
                        <w:tc>
                          <w:tcPr>
                            <w:tcW w:w="6096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  <w:bottom w:val="single" w:sz="4" w:space="0" w:color="FFFFFF" w:themeColor="background1"/>
                            </w:tcBorders>
                          </w:tcPr>
                          <w:p w:rsidR="00A64DD3" w:rsidRPr="00A64DD3" w:rsidRDefault="003D1E61" w:rsidP="003D1E6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صرف سهام جریان وجوه نقد نیست</w:t>
                            </w:r>
                          </w:p>
                        </w:tc>
                      </w:tr>
                      <w:tr w:rsidR="000D10BF" w:rsidRPr="00A64DD3" w:rsidTr="002173E0">
                        <w:tc>
                          <w:tcPr>
                            <w:tcW w:w="3419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A64DD3" w:rsidRP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</w:rPr>
                            </w:pPr>
                            <w:r w:rsidRPr="00A64DD3"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سود غیر عملیاتی از فروش تجهیزات</w:t>
                            </w:r>
                          </w:p>
                          <w:p w:rsidR="00A64DD3" w:rsidRP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A64DD3" w:rsidRPr="00A64DD3" w:rsidRDefault="000D10BF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(2)</w:t>
                            </w:r>
                          </w:p>
                        </w:tc>
                        <w:tc>
                          <w:tcPr>
                            <w:tcW w:w="6096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  <w:bottom w:val="single" w:sz="4" w:space="0" w:color="FFFFFF" w:themeColor="background1"/>
                            </w:tcBorders>
                          </w:tcPr>
                          <w:p w:rsidR="003D1E61" w:rsidRDefault="003D1E61" w:rsidP="00437AA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حذف  سود غیر عملیاتی  (زیراغیر عملیاتی است)جریان وجوه</w:t>
                            </w: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 xml:space="preserve">نقدی </w:t>
                            </w:r>
                            <w:r w:rsidR="00437AA9"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،هست وجوه نقد حاصل از فعالیت های سرمایه گذاری</w:t>
                            </w:r>
                          </w:p>
                          <w:p w:rsidR="00A64DD3" w:rsidRP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0D10BF" w:rsidRPr="00A64DD3" w:rsidTr="002173E0">
                        <w:tc>
                          <w:tcPr>
                            <w:tcW w:w="3419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0D10BF" w:rsidRDefault="000D10BF" w:rsidP="000D10B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 xml:space="preserve">افزایش در مطالبات  </w:t>
                            </w:r>
                          </w:p>
                          <w:p w:rsidR="00A64DD3" w:rsidRP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A64DD3" w:rsidRPr="00A64DD3" w:rsidRDefault="000D10BF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(90)</w:t>
                            </w:r>
                          </w:p>
                        </w:tc>
                        <w:tc>
                          <w:tcPr>
                            <w:tcW w:w="6096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  <w:bottom w:val="single" w:sz="4" w:space="0" w:color="FFFFFF" w:themeColor="background1"/>
                            </w:tcBorders>
                          </w:tcPr>
                          <w:p w:rsidR="00437AA9" w:rsidRDefault="00437AA9" w:rsidP="00437AA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 xml:space="preserve">جریان های نقدی حاصل از فروش ،کمتر از فروش اقلام تعهدی است. </w:t>
                            </w:r>
                          </w:p>
                          <w:p w:rsidR="00A64DD3" w:rsidRPr="00A64DD3" w:rsidRDefault="00A64DD3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0D10BF" w:rsidRPr="00A64DD3" w:rsidTr="002173E0">
                        <w:tc>
                          <w:tcPr>
                            <w:tcW w:w="3419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0D10BF" w:rsidRPr="00A64DD3" w:rsidRDefault="000D10BF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افزایش در موجودی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0D10BF" w:rsidRPr="00A64DD3" w:rsidRDefault="000D10BF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(303)</w:t>
                            </w:r>
                          </w:p>
                        </w:tc>
                        <w:tc>
                          <w:tcPr>
                            <w:tcW w:w="6096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  <w:bottom w:val="single" w:sz="4" w:space="0" w:color="FFFFFF" w:themeColor="background1"/>
                            </w:tcBorders>
                          </w:tcPr>
                          <w:p w:rsidR="00437AA9" w:rsidRDefault="00437AA9" w:rsidP="0002645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 xml:space="preserve">خروج </w:t>
                            </w:r>
                            <w:r w:rsidR="00026457"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 xml:space="preserve">وجوه </w:t>
                            </w: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 xml:space="preserve">نقد برای موجودی بیش از </w:t>
                            </w:r>
                            <w:r w:rsidR="00026457"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 xml:space="preserve">هزینه موجودی اقلام تعهدی شاملهزینه فروش رفته است </w:t>
                            </w:r>
                          </w:p>
                          <w:p w:rsidR="000D10BF" w:rsidRPr="00A64DD3" w:rsidRDefault="000D10BF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0D10BF" w:rsidRPr="00A64DD3" w:rsidTr="002173E0">
                        <w:tc>
                          <w:tcPr>
                            <w:tcW w:w="3419" w:type="dxa"/>
                            <w:tcBorders>
                              <w:top w:val="single" w:sz="4" w:space="0" w:color="FFFFFF" w:themeColor="background1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0D10BF" w:rsidRDefault="000D10BF" w:rsidP="000D10B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افزایش در حساب های قابل پرداخت</w:t>
                            </w:r>
                          </w:p>
                          <w:p w:rsidR="000D10BF" w:rsidRPr="00A64DD3" w:rsidRDefault="000D10BF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  <w:bottom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0D10BF" w:rsidRPr="00A64DD3" w:rsidRDefault="000D10BF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230</w:t>
                            </w:r>
                          </w:p>
                        </w:tc>
                        <w:tc>
                          <w:tcPr>
                            <w:tcW w:w="6096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  <w:bottom w:val="single" w:sz="4" w:space="0" w:color="FFFFFF" w:themeColor="background1"/>
                            </w:tcBorders>
                          </w:tcPr>
                          <w:p w:rsidR="000D10BF" w:rsidRPr="00A64DD3" w:rsidRDefault="00E25984" w:rsidP="00E259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 xml:space="preserve"> خروج وجوه نقد برای خرید (شامل در بهای تمام شده  کالاهای فروخته رفته) از هزینه خرید تعهدی کمتر است</w:t>
                            </w:r>
                          </w:p>
                        </w:tc>
                      </w:tr>
                      <w:tr w:rsidR="000D10BF" w:rsidRPr="00A64DD3" w:rsidTr="002173E0">
                        <w:trPr>
                          <w:trHeight w:val="419"/>
                        </w:trPr>
                        <w:tc>
                          <w:tcPr>
                            <w:tcW w:w="3419" w:type="dxa"/>
                            <w:tcBorders>
                              <w:top w:val="single" w:sz="4" w:space="0" w:color="FFFFFF" w:themeColor="background1"/>
                              <w:right w:val="single" w:sz="4" w:space="0" w:color="FFFFFF"/>
                            </w:tcBorders>
                          </w:tcPr>
                          <w:p w:rsidR="000D10BF" w:rsidRDefault="000D10BF" w:rsidP="000D10B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جریان وجوه نقد عملیاتی (جدول 7.6)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  <w:right w:val="single" w:sz="4" w:space="0" w:color="FFFFFF"/>
                            </w:tcBorders>
                          </w:tcPr>
                          <w:p w:rsidR="000D10BF" w:rsidRPr="00A64DD3" w:rsidRDefault="000D10BF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1146 دلار</w:t>
                            </w:r>
                          </w:p>
                        </w:tc>
                        <w:tc>
                          <w:tcPr>
                            <w:tcW w:w="6096" w:type="dxa"/>
                            <w:tcBorders>
                              <w:top w:val="single" w:sz="4" w:space="0" w:color="FFFFFF" w:themeColor="background1"/>
                              <w:left w:val="single" w:sz="4" w:space="0" w:color="FFFFFF"/>
                            </w:tcBorders>
                          </w:tcPr>
                          <w:p w:rsidR="000D10BF" w:rsidRPr="00A64DD3" w:rsidRDefault="000D10BF" w:rsidP="00A64DD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A64DD3" w:rsidRDefault="00A64DD3" w:rsidP="00A64DD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MS Shell Dlg 2" w:hAnsi="MS Shell Dlg 2" w:cs="MS Shell Dlg 2"/>
                          <w:sz w:val="18"/>
                          <w:szCs w:val="18"/>
                        </w:rPr>
                      </w:pPr>
                    </w:p>
                    <w:p w:rsidR="00A64DD3" w:rsidRDefault="00A64DD3" w:rsidP="00C16CD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MS Shell Dlg 2" w:hAnsi="MS Shell Dlg 2" w:cs="MS Shell Dlg 2"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ascii="MS Shell Dlg 2" w:hAnsi="MS Shell Dlg 2" w:cs="MS Shell Dlg 2"/>
                          <w:sz w:val="18"/>
                          <w:szCs w:val="18"/>
                          <w:rtl/>
                        </w:rPr>
                        <w:tab/>
                      </w:r>
                      <w:r>
                        <w:rPr>
                          <w:rFonts w:ascii="MS Shell Dlg 2" w:hAnsi="MS Shell Dlg 2" w:cs="MS Shell Dlg 2"/>
                          <w:sz w:val="18"/>
                          <w:szCs w:val="18"/>
                          <w:rtl/>
                        </w:rPr>
                        <w:tab/>
                      </w:r>
                      <w:r>
                        <w:rPr>
                          <w:rFonts w:ascii="MS Shell Dlg 2" w:hAnsi="MS Shell Dlg 2" w:cs="MS Shell Dlg 2"/>
                          <w:sz w:val="18"/>
                          <w:szCs w:val="18"/>
                          <w:rtl/>
                        </w:rPr>
                        <w:tab/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A64DD3" w:rsidRPr="00B97A36" w:rsidRDefault="00A64DD3" w:rsidP="00A64DD3">
      <w:pPr>
        <w:widowControl w:val="0"/>
        <w:shd w:val="clear" w:color="auto" w:fill="FFFFFF"/>
        <w:autoSpaceDE w:val="0"/>
        <w:autoSpaceDN w:val="0"/>
        <w:bidi w:val="0"/>
        <w:adjustRightInd w:val="0"/>
        <w:spacing w:after="0" w:line="240" w:lineRule="auto"/>
        <w:rPr>
          <w:rFonts w:ascii="MS Shell Dlg 2" w:hAnsi="MS Shell Dlg 2" w:cs="B Nazanin"/>
          <w:color w:val="000000"/>
        </w:rPr>
      </w:pPr>
    </w:p>
    <w:p w:rsidR="001139AD" w:rsidRPr="00B97A36" w:rsidRDefault="00C16CD6" w:rsidP="001139AD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color w:val="000000"/>
          <w:rtl/>
        </w:rPr>
      </w:pPr>
      <w:r w:rsidRPr="00B97A36">
        <w:rPr>
          <w:rFonts w:ascii="MS Shell Dlg 2" w:hAnsi="MS Shell Dlg 2" w:cs="B Nazanin"/>
          <w:color w:val="000000"/>
          <w:rtl/>
        </w:rPr>
        <w:t xml:space="preserve">کندی بین درآمد و </w:t>
      </w:r>
      <w:r w:rsidR="002E08CA" w:rsidRPr="00B97A36">
        <w:rPr>
          <w:rFonts w:ascii="MS Shell Dlg 2" w:hAnsi="MS Shell Dlg 2" w:cs="B Nazanin"/>
          <w:color w:val="000000"/>
          <w:rtl/>
        </w:rPr>
        <w:t xml:space="preserve">جریان </w:t>
      </w:r>
      <w:r w:rsidRPr="00B97A36">
        <w:rPr>
          <w:rFonts w:ascii="MS Shell Dlg 2" w:hAnsi="MS Shell Dlg 2" w:cs="B Nazanin"/>
          <w:color w:val="000000"/>
          <w:rtl/>
        </w:rPr>
        <w:t>پول نقد  می</w:t>
      </w:r>
      <w:r w:rsidR="00383700" w:rsidRPr="00B97A36">
        <w:rPr>
          <w:rFonts w:ascii="MS Shell Dlg 2" w:hAnsi="MS Shell Dlg 2" w:cs="B Nazanin"/>
          <w:color w:val="000000"/>
          <w:rtl/>
        </w:rPr>
        <w:t xml:space="preserve"> شود،با</w:t>
      </w:r>
      <w:r w:rsidRPr="00B97A36">
        <w:rPr>
          <w:rFonts w:ascii="MS Shell Dlg 2" w:hAnsi="MS Shell Dlg 2" w:cs="B Nazanin"/>
          <w:color w:val="000000"/>
          <w:rtl/>
        </w:rPr>
        <w:t xml:space="preserve"> استفاده از </w:t>
      </w:r>
      <w:r w:rsidR="002E08CA" w:rsidRPr="00B97A36">
        <w:rPr>
          <w:rFonts w:ascii="MS Shell Dlg 2" w:hAnsi="MS Shell Dlg 2" w:cs="B Nazanin"/>
          <w:color w:val="000000"/>
          <w:rtl/>
        </w:rPr>
        <w:t>اصلاحات</w:t>
      </w:r>
      <w:r w:rsidRPr="00B97A36">
        <w:rPr>
          <w:rFonts w:ascii="MS Shell Dlg 2" w:hAnsi="MS Shell Dlg 2" w:cs="B Nazanin"/>
          <w:color w:val="000000"/>
          <w:rtl/>
        </w:rPr>
        <w:t xml:space="preserve"> غیرنقدی. شرکت با استفاده از روش های غیر مستقیم باید به طور جداگانه</w:t>
      </w:r>
      <w:r w:rsidR="00383700" w:rsidRPr="00B97A36">
        <w:rPr>
          <w:rFonts w:ascii="MS Shell Dlg 2" w:hAnsi="MS Shell Dlg 2" w:cs="B Nazanin"/>
          <w:color w:val="000000"/>
          <w:rtl/>
        </w:rPr>
        <w:t>،</w:t>
      </w:r>
      <w:r w:rsidRPr="00B97A36">
        <w:rPr>
          <w:rFonts w:ascii="MS Shell Dlg 2" w:hAnsi="MS Shell Dlg 2" w:cs="B Nazanin"/>
          <w:color w:val="000000"/>
          <w:rtl/>
        </w:rPr>
        <w:t xml:space="preserve"> تغییر در موجودی، اسناد دریافتنی، و حساب های پرداختنی</w:t>
      </w:r>
      <w:r w:rsidR="00383700" w:rsidRPr="00B97A36">
        <w:rPr>
          <w:rFonts w:ascii="MS Shell Dlg 2" w:hAnsi="MS Shell Dlg 2" w:cs="B Nazanin"/>
          <w:color w:val="000000"/>
          <w:rtl/>
        </w:rPr>
        <w:t xml:space="preserve"> را</w:t>
      </w:r>
      <w:r w:rsidRPr="00B97A36">
        <w:rPr>
          <w:rFonts w:ascii="MS Shell Dlg 2" w:hAnsi="MS Shell Dlg 2" w:cs="B Nazanin"/>
          <w:color w:val="000000"/>
          <w:rtl/>
        </w:rPr>
        <w:t xml:space="preserve"> </w:t>
      </w:r>
      <w:r w:rsidR="00383700" w:rsidRPr="00B97A36">
        <w:rPr>
          <w:rFonts w:ascii="MS Shell Dlg 2" w:hAnsi="MS Shell Dlg 2" w:cs="B Nazanin"/>
          <w:color w:val="000000"/>
          <w:rtl/>
        </w:rPr>
        <w:t xml:space="preserve">افشا </w:t>
      </w:r>
      <w:r w:rsidR="001E5E29" w:rsidRPr="00B97A36">
        <w:rPr>
          <w:rFonts w:ascii="MS Shell Dlg 2" w:hAnsi="MS Shell Dlg 2" w:cs="B Nazanin"/>
          <w:color w:val="000000"/>
          <w:rtl/>
        </w:rPr>
        <w:t xml:space="preserve">نماید وقتی که مابین </w:t>
      </w:r>
      <w:r w:rsidRPr="00B97A36">
        <w:rPr>
          <w:rFonts w:ascii="MS Shell Dlg 2" w:hAnsi="MS Shell Dlg 2" w:cs="B Nazanin"/>
          <w:color w:val="000000"/>
          <w:rtl/>
        </w:rPr>
        <w:t xml:space="preserve"> </w:t>
      </w:r>
      <w:r w:rsidR="001E5E29" w:rsidRPr="00B97A36">
        <w:rPr>
          <w:rFonts w:ascii="MS Shell Dlg 2" w:hAnsi="MS Shell Dlg 2" w:cs="B Nazanin"/>
          <w:color w:val="000000"/>
          <w:rtl/>
        </w:rPr>
        <w:t>درآمد با</w:t>
      </w:r>
      <w:r w:rsidRPr="00B97A36">
        <w:rPr>
          <w:rFonts w:ascii="MS Shell Dlg 2" w:hAnsi="MS Shell Dlg 2" w:cs="B Nazanin"/>
          <w:color w:val="000000"/>
          <w:rtl/>
        </w:rPr>
        <w:t xml:space="preserve"> جریان های نقدی عملیاتی</w:t>
      </w:r>
      <w:r w:rsidR="001E5E29" w:rsidRPr="00B97A36">
        <w:rPr>
          <w:rFonts w:ascii="MS Shell Dlg 2" w:hAnsi="MS Shell Dlg 2" w:cs="B Nazanin"/>
          <w:color w:val="000000"/>
          <w:rtl/>
        </w:rPr>
        <w:t xml:space="preserve"> مغایرت وجود داشته باشد </w:t>
      </w:r>
      <w:r w:rsidRPr="00B97A36">
        <w:rPr>
          <w:rFonts w:ascii="MS Shell Dlg 2" w:hAnsi="MS Shell Dlg 2" w:cs="B Nazanin"/>
          <w:color w:val="000000"/>
          <w:rtl/>
        </w:rPr>
        <w:t>. آنها همچنین باید هر دو بهره و مالی</w:t>
      </w:r>
      <w:r w:rsidR="001E5E29" w:rsidRPr="00B97A36">
        <w:rPr>
          <w:rFonts w:ascii="MS Shell Dlg 2" w:hAnsi="MS Shell Dlg 2" w:cs="B Nazanin"/>
          <w:color w:val="000000"/>
          <w:rtl/>
        </w:rPr>
        <w:t>ات بر درآمد پرداخت شده</w:t>
      </w:r>
      <w:r w:rsidRPr="00B97A36">
        <w:rPr>
          <w:rFonts w:ascii="MS Shell Dlg 2" w:hAnsi="MS Shell Dlg 2" w:cs="B Nazanin"/>
          <w:color w:val="000000"/>
          <w:rtl/>
        </w:rPr>
        <w:t xml:space="preserve"> </w:t>
      </w:r>
      <w:r w:rsidR="001E5E29" w:rsidRPr="00B97A36">
        <w:rPr>
          <w:rFonts w:ascii="MS Shell Dlg 2" w:hAnsi="MS Shell Dlg 2" w:cs="B Nazanin"/>
          <w:color w:val="000000"/>
          <w:rtl/>
        </w:rPr>
        <w:t xml:space="preserve">را </w:t>
      </w:r>
      <w:r w:rsidRPr="00B97A36">
        <w:rPr>
          <w:rFonts w:ascii="MS Shell Dlg 2" w:hAnsi="MS Shell Dlg 2" w:cs="B Nazanin"/>
          <w:color w:val="000000"/>
          <w:rtl/>
        </w:rPr>
        <w:t>گزارش ده</w:t>
      </w:r>
      <w:r w:rsidR="001E5E29" w:rsidRPr="00B97A36">
        <w:rPr>
          <w:rFonts w:ascii="MS Shell Dlg 2" w:hAnsi="MS Shell Dlg 2" w:cs="B Nazanin"/>
          <w:color w:val="000000"/>
          <w:rtl/>
        </w:rPr>
        <w:t>ن</w:t>
      </w:r>
      <w:r w:rsidRPr="00B97A36">
        <w:rPr>
          <w:rFonts w:ascii="MS Shell Dlg 2" w:hAnsi="MS Shell Dlg 2" w:cs="B Nazanin"/>
          <w:color w:val="000000"/>
          <w:rtl/>
        </w:rPr>
        <w:t>د</w:t>
      </w:r>
      <w:r w:rsidRPr="00B97A36">
        <w:rPr>
          <w:rFonts w:ascii="MS Shell Dlg 2" w:hAnsi="MS Shell Dlg 2" w:cs="B Nazanin"/>
          <w:color w:val="000000"/>
        </w:rPr>
        <w:t>.</w:t>
      </w:r>
    </w:p>
    <w:p w:rsidR="001139AD" w:rsidRDefault="009F0BD8" w:rsidP="001139AD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18"/>
          <w:szCs w:val="18"/>
          <w:rtl/>
        </w:rPr>
      </w:pPr>
      <w:r>
        <w:rPr>
          <w:noProof/>
        </w:rPr>
        <mc:AlternateContent>
          <mc:Choice Requires="wps">
            <w:drawing>
              <wp:anchor distT="91440" distB="91440" distL="114300" distR="114300" simplePos="0" relativeHeight="251669504" behindDoc="0" locked="0" layoutInCell="0" allowOverlap="1">
                <wp:simplePos x="0" y="0"/>
                <wp:positionH relativeFrom="margin">
                  <wp:posOffset>3294380</wp:posOffset>
                </wp:positionH>
                <wp:positionV relativeFrom="margin">
                  <wp:posOffset>4733290</wp:posOffset>
                </wp:positionV>
                <wp:extent cx="3601085" cy="2103755"/>
                <wp:effectExtent l="0" t="0" r="0" b="0"/>
                <wp:wrapSquare wrapText="bothSides"/>
                <wp:docPr id="1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601085" cy="210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:rsidR="001139AD" w:rsidRPr="001139AD" w:rsidRDefault="001139AD" w:rsidP="001139AD">
                            <w:pPr>
                              <w:rPr>
                                <w:color w:val="4F81BD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گزارش</w:t>
                            </w:r>
                            <w:r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جر</w:t>
                            </w:r>
                            <w:r>
                              <w:rPr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ان</w:t>
                            </w:r>
                            <w:r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وجوه</w:t>
                            </w:r>
                            <w:r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نقد</w:t>
                            </w:r>
                            <w:r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استفاده</w:t>
                            </w:r>
                            <w:r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شده</w:t>
                            </w:r>
                            <w:r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روش</w:t>
                            </w:r>
                            <w:r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مستق</w:t>
                            </w:r>
                            <w:r>
                              <w:rPr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م</w:t>
                            </w:r>
                            <w:r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غ</w:t>
                            </w:r>
                            <w:r>
                              <w:rPr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  <w:r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مستق</w:t>
                            </w:r>
                            <w:r>
                              <w:rPr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م</w:t>
                            </w:r>
                            <w:r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9F0BD8"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3255010" cy="1440815"/>
                                  <wp:effectExtent l="0" t="0" r="2540" b="698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55010" cy="144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259.4pt;margin-top:372.7pt;width:283.55pt;height:165.65pt;flip:x;z-index:25166950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" o:allowincell="f" strokecolor="#7f7f7f" strokeweight="1.5pt">
                <v:shadow on="t" type="perspective" color="black" opacity="26213f" origin="-.5,-.5" offset=".74836mm,.74836mm" matrix="65864f,,,65864f"/>
                <v:textbox inset="21.6pt,21.6pt,21.6pt,21.6pt">
                  <w:txbxContent>
                    <w:p w:rsidR="001139AD" w:rsidRPr="001139AD" w:rsidRDefault="001139AD" w:rsidP="001139AD">
                      <w:pPr>
                        <w:rPr>
                          <w:color w:val="4F81BD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rtl/>
                        </w:rPr>
                        <w:t>گزارش</w:t>
                      </w:r>
                      <w:r>
                        <w:rPr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جر</w:t>
                      </w:r>
                      <w:r>
                        <w:rPr>
                          <w:sz w:val="20"/>
                          <w:szCs w:val="20"/>
                          <w:rtl/>
                        </w:rPr>
                        <w:t>ی</w:t>
                      </w:r>
                      <w:r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ان</w:t>
                      </w:r>
                      <w:r>
                        <w:rPr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  <w:szCs w:val="20"/>
                          <w:rtl/>
                        </w:rPr>
                        <w:t>وجوه</w:t>
                      </w:r>
                      <w:r>
                        <w:rPr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  <w:szCs w:val="20"/>
                          <w:rtl/>
                        </w:rPr>
                        <w:t>نقد</w:t>
                      </w:r>
                      <w:r>
                        <w:rPr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استفاده</w:t>
                      </w:r>
                      <w:r>
                        <w:rPr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شده</w:t>
                      </w:r>
                      <w:r>
                        <w:rPr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در</w:t>
                      </w:r>
                      <w:r>
                        <w:rPr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روش</w:t>
                      </w:r>
                      <w:r>
                        <w:rPr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  <w:szCs w:val="20"/>
                          <w:rtl/>
                        </w:rPr>
                        <w:t>مستق</w:t>
                      </w:r>
                      <w:r>
                        <w:rPr>
                          <w:sz w:val="20"/>
                          <w:szCs w:val="20"/>
                          <w:rtl/>
                        </w:rPr>
                        <w:t>ی</w:t>
                      </w:r>
                      <w:r>
                        <w:rPr>
                          <w:rFonts w:hint="eastAsia"/>
                          <w:sz w:val="20"/>
                          <w:szCs w:val="20"/>
                          <w:rtl/>
                        </w:rPr>
                        <w:t>م</w:t>
                      </w:r>
                      <w:r>
                        <w:rPr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  <w:szCs w:val="20"/>
                          <w:rtl/>
                        </w:rPr>
                        <w:t>و</w:t>
                      </w:r>
                      <w:r>
                        <w:rPr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غ</w:t>
                      </w:r>
                      <w:r>
                        <w:rPr>
                          <w:sz w:val="20"/>
                          <w:szCs w:val="20"/>
                          <w:rtl/>
                        </w:rPr>
                        <w:t>ی</w:t>
                      </w:r>
                      <w:r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ر</w:t>
                      </w:r>
                      <w:r>
                        <w:rPr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  <w:szCs w:val="20"/>
                          <w:rtl/>
                        </w:rPr>
                        <w:t>مستق</w:t>
                      </w:r>
                      <w:r>
                        <w:rPr>
                          <w:sz w:val="20"/>
                          <w:szCs w:val="20"/>
                          <w:rtl/>
                        </w:rPr>
                        <w:t>ی</w:t>
                      </w:r>
                      <w:r>
                        <w:rPr>
                          <w:rFonts w:hint="eastAsia"/>
                          <w:sz w:val="20"/>
                          <w:szCs w:val="20"/>
                          <w:rtl/>
                        </w:rPr>
                        <w:t>م</w:t>
                      </w:r>
                      <w:r>
                        <w:rPr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9F0BD8"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3255010" cy="1440815"/>
                            <wp:effectExtent l="0" t="0" r="2540" b="698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55010" cy="14408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036358" w:rsidRPr="00B32088" w:rsidRDefault="00036358" w:rsidP="00A06F93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Titr"/>
          <w:color w:val="000000"/>
        </w:rPr>
      </w:pPr>
      <w:bookmarkStart w:id="0" w:name="_GoBack"/>
      <w:r w:rsidRPr="00B32088">
        <w:rPr>
          <w:rFonts w:ascii="MS Shell Dlg 2" w:hAnsi="MS Shell Dlg 2" w:cs="B Titr"/>
          <w:color w:val="000000"/>
          <w:rtl/>
        </w:rPr>
        <w:t>روش</w:t>
      </w:r>
      <w:r w:rsidRPr="00B32088">
        <w:rPr>
          <w:rFonts w:ascii="MS Shell Dlg 2" w:hAnsi="MS Shell Dlg 2" w:cs="B Titr"/>
          <w:color w:val="000000"/>
        </w:rPr>
        <w:t xml:space="preserve">  </w:t>
      </w:r>
      <w:r w:rsidRPr="00B32088">
        <w:rPr>
          <w:rFonts w:ascii="MS Shell Dlg 2" w:hAnsi="MS Shell Dlg 2" w:cs="B Titr"/>
          <w:color w:val="000000"/>
          <w:rtl/>
        </w:rPr>
        <w:t>مستقیم</w:t>
      </w:r>
    </w:p>
    <w:bookmarkEnd w:id="0"/>
    <w:p w:rsidR="00036358" w:rsidRPr="001139AD" w:rsidRDefault="00036358" w:rsidP="001139AD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color w:val="000000"/>
        </w:rPr>
      </w:pPr>
      <w:r w:rsidRPr="001139AD">
        <w:rPr>
          <w:rFonts w:ascii="MS Shell Dlg 2" w:hAnsi="MS Shell Dlg 2" w:cs="B Nazanin"/>
          <w:color w:val="000000"/>
          <w:rtl/>
        </w:rPr>
        <w:t>روش مستقیم (یا جریان</w:t>
      </w:r>
      <w:r w:rsidR="003E6092" w:rsidRPr="001139AD">
        <w:rPr>
          <w:rFonts w:ascii="MS Shell Dlg 2" w:hAnsi="MS Shell Dlg 2" w:cs="B Nazanin"/>
          <w:color w:val="000000"/>
          <w:rtl/>
        </w:rPr>
        <w:t xml:space="preserve"> ورودی -</w:t>
      </w:r>
      <w:r w:rsidRPr="001139AD">
        <w:rPr>
          <w:rFonts w:ascii="MS Shell Dlg 2" w:hAnsi="MS Shell Dlg 2" w:cs="B Nazanin"/>
          <w:color w:val="000000"/>
          <w:rtl/>
        </w:rPr>
        <w:t xml:space="preserve"> خروجی) گزارش </w:t>
      </w:r>
      <w:r w:rsidR="003F2CC8" w:rsidRPr="001139AD">
        <w:rPr>
          <w:rFonts w:ascii="MS Shell Dlg 2" w:hAnsi="MS Shell Dlg 2" w:cs="B Nazanin"/>
          <w:color w:val="000000"/>
          <w:rtl/>
        </w:rPr>
        <w:t xml:space="preserve">های </w:t>
      </w:r>
      <w:r w:rsidRPr="001139AD">
        <w:rPr>
          <w:rFonts w:ascii="MS Shell Dlg 2" w:hAnsi="MS Shell Dlg 2" w:cs="B Nazanin"/>
          <w:color w:val="000000"/>
          <w:rtl/>
        </w:rPr>
        <w:t xml:space="preserve">وجوه </w:t>
      </w:r>
      <w:r w:rsidR="003E6092" w:rsidRPr="001139AD">
        <w:rPr>
          <w:rFonts w:ascii="MS Shell Dlg 2" w:hAnsi="MS Shell Dlg 2" w:cs="B Nazanin"/>
          <w:color w:val="000000"/>
          <w:rtl/>
        </w:rPr>
        <w:t xml:space="preserve">نقد </w:t>
      </w:r>
      <w:r w:rsidRPr="001139AD">
        <w:rPr>
          <w:rFonts w:ascii="MS Shell Dlg 2" w:hAnsi="MS Shell Dlg 2" w:cs="B Nazanin"/>
          <w:color w:val="000000"/>
          <w:rtl/>
        </w:rPr>
        <w:t xml:space="preserve">دریافتی ناخالص و پرداخت نقدی مربوط به </w:t>
      </w:r>
      <w:r w:rsidR="003E6092" w:rsidRPr="001139AD">
        <w:rPr>
          <w:rFonts w:ascii="MS Shell Dlg 2" w:hAnsi="MS Shell Dlg 2" w:cs="B Nazanin"/>
          <w:color w:val="000000"/>
          <w:rtl/>
        </w:rPr>
        <w:t xml:space="preserve">فعالیت های </w:t>
      </w:r>
      <w:r w:rsidRPr="001139AD">
        <w:rPr>
          <w:rFonts w:ascii="MS Shell Dlg 2" w:hAnsi="MS Shell Dlg 2" w:cs="B Nazanin"/>
          <w:color w:val="000000"/>
          <w:rtl/>
        </w:rPr>
        <w:t>عملیات</w:t>
      </w:r>
      <w:r w:rsidR="003E6092" w:rsidRPr="001139AD">
        <w:rPr>
          <w:rFonts w:ascii="MS Shell Dlg 2" w:hAnsi="MS Shell Dlg 2" w:cs="B Nazanin" w:hint="cs"/>
          <w:color w:val="000000"/>
          <w:rtl/>
        </w:rPr>
        <w:t>ی</w:t>
      </w:r>
      <w:r w:rsidRPr="001139AD">
        <w:rPr>
          <w:rFonts w:ascii="MS Shell Dlg 2" w:hAnsi="MS Shell Dlg 2" w:cs="B Nazanin"/>
          <w:color w:val="000000"/>
          <w:rtl/>
        </w:rPr>
        <w:t xml:space="preserve"> </w:t>
      </w:r>
      <w:r w:rsidR="003F2CC8" w:rsidRPr="001139AD">
        <w:rPr>
          <w:rFonts w:ascii="MS Shell Dlg 2" w:hAnsi="MS Shell Dlg 2" w:cs="B Nazanin"/>
          <w:color w:val="000000"/>
          <w:rtl/>
        </w:rPr>
        <w:t xml:space="preserve">- تنظیم </w:t>
      </w:r>
      <w:r w:rsidRPr="001139AD">
        <w:rPr>
          <w:rFonts w:ascii="MS Shell Dlg 2" w:hAnsi="MS Shell Dlg 2" w:cs="B Nazanin"/>
          <w:color w:val="000000"/>
          <w:rtl/>
        </w:rPr>
        <w:t xml:space="preserve">اساسا </w:t>
      </w:r>
      <w:r w:rsidR="003F2CC8" w:rsidRPr="001139AD">
        <w:rPr>
          <w:rFonts w:ascii="MS Shell Dlg 2" w:hAnsi="MS Shell Dlg 2" w:cs="B Nazanin" w:hint="cs"/>
          <w:color w:val="000000"/>
          <w:rtl/>
        </w:rPr>
        <w:t>ی</w:t>
      </w:r>
      <w:r w:rsidR="003F2CC8" w:rsidRPr="001139AD">
        <w:rPr>
          <w:rFonts w:ascii="MS Shell Dlg 2" w:hAnsi="MS Shell Dlg 2" w:cs="B Nazanin"/>
          <w:color w:val="000000"/>
          <w:rtl/>
        </w:rPr>
        <w:t xml:space="preserve"> </w:t>
      </w:r>
      <w:r w:rsidRPr="001139AD">
        <w:rPr>
          <w:rFonts w:ascii="MS Shell Dlg 2" w:hAnsi="MS Shell Dlg 2" w:cs="B Nazanin"/>
          <w:color w:val="000000"/>
          <w:rtl/>
        </w:rPr>
        <w:t xml:space="preserve">هر یک از </w:t>
      </w:r>
      <w:r w:rsidR="003F2CC8" w:rsidRPr="001139AD">
        <w:rPr>
          <w:rFonts w:ascii="MS Shell Dlg 2" w:hAnsi="MS Shell Dlg 2" w:cs="B Nazanin"/>
          <w:color w:val="000000"/>
          <w:rtl/>
        </w:rPr>
        <w:t xml:space="preserve">اقلام صورت حساب </w:t>
      </w:r>
      <w:r w:rsidRPr="001139AD">
        <w:rPr>
          <w:rFonts w:ascii="MS Shell Dlg 2" w:hAnsi="MS Shell Dlg 2" w:cs="B Nazanin"/>
          <w:color w:val="000000"/>
          <w:rtl/>
        </w:rPr>
        <w:t xml:space="preserve">درآمد </w:t>
      </w:r>
      <w:r w:rsidR="003F2CC8" w:rsidRPr="001139AD">
        <w:rPr>
          <w:rFonts w:ascii="MS Shell Dlg 2" w:hAnsi="MS Shell Dlg 2" w:cs="B Nazanin"/>
          <w:color w:val="000000"/>
          <w:rtl/>
        </w:rPr>
        <w:t>بر</w:t>
      </w:r>
      <w:r w:rsidRPr="001139AD">
        <w:rPr>
          <w:rFonts w:ascii="MS Shell Dlg 2" w:hAnsi="MS Shell Dlg 2" w:cs="B Nazanin"/>
          <w:color w:val="000000"/>
          <w:rtl/>
        </w:rPr>
        <w:t xml:space="preserve"> مبنای نقدی</w:t>
      </w:r>
      <w:r w:rsidR="003F2CC8" w:rsidRPr="001139AD">
        <w:rPr>
          <w:rFonts w:ascii="MS Shell Dlg 2" w:hAnsi="MS Shell Dlg 2" w:cs="B Nazanin"/>
          <w:color w:val="000000"/>
          <w:rtl/>
        </w:rPr>
        <w:t xml:space="preserve"> تعهدی می باشد</w:t>
      </w:r>
      <w:r w:rsidRPr="001139AD">
        <w:rPr>
          <w:rFonts w:ascii="MS Shell Dlg 2" w:hAnsi="MS Shell Dlg 2" w:cs="B Nazanin"/>
          <w:color w:val="000000"/>
          <w:rtl/>
        </w:rPr>
        <w:t xml:space="preserve">. اکثریت پاسخ دهندگان به </w:t>
      </w:r>
      <w:r w:rsidR="009E77B1" w:rsidRPr="001139AD">
        <w:rPr>
          <w:rFonts w:ascii="MS Shell Dlg 2" w:hAnsi="MS Shell Dlg 2" w:cs="B Nazanin"/>
          <w:color w:val="000000"/>
          <w:rtl/>
        </w:rPr>
        <w:t xml:space="preserve">متن </w:t>
      </w:r>
      <w:r w:rsidRPr="001139AD">
        <w:rPr>
          <w:rFonts w:ascii="MS Shell Dlg 2" w:hAnsi="MS Shell Dlg 2" w:cs="B Nazanin"/>
          <w:color w:val="000000"/>
          <w:rtl/>
        </w:rPr>
        <w:t xml:space="preserve">پیش نویس </w:t>
      </w:r>
      <w:r w:rsidR="009E77B1" w:rsidRPr="001139AD">
        <w:rPr>
          <w:rFonts w:ascii="MS Shell Dlg 2" w:hAnsi="MS Shell Dlg 2" w:cs="B Nazanin"/>
          <w:color w:val="000000"/>
          <w:rtl/>
        </w:rPr>
        <w:t xml:space="preserve">حسابداری </w:t>
      </w:r>
      <w:r w:rsidRPr="001139AD">
        <w:rPr>
          <w:rFonts w:ascii="MS Shell Dlg 2" w:hAnsi="MS Shell Dlg 2" w:cs="B Nazanin"/>
          <w:color w:val="000000"/>
          <w:rtl/>
        </w:rPr>
        <w:t xml:space="preserve"> قبل از شرایط فعلی </w:t>
      </w:r>
      <w:r w:rsidR="006A50E1" w:rsidRPr="001139AD">
        <w:rPr>
          <w:rFonts w:ascii="MS Shell Dlg 2" w:hAnsi="MS Shell Dlg 2" w:cs="B Nazanin"/>
          <w:color w:val="000000"/>
          <w:rtl/>
        </w:rPr>
        <w:t>،</w:t>
      </w:r>
      <w:r w:rsidRPr="001139AD">
        <w:rPr>
          <w:rFonts w:ascii="MS Shell Dlg 2" w:hAnsi="MS Shell Dlg 2" w:cs="B Nazanin"/>
          <w:color w:val="000000"/>
          <w:rtl/>
        </w:rPr>
        <w:t>برای گزارش جری</w:t>
      </w:r>
      <w:r w:rsidR="006A50E1" w:rsidRPr="001139AD">
        <w:rPr>
          <w:rFonts w:ascii="MS Shell Dlg 2" w:hAnsi="MS Shell Dlg 2" w:cs="B Nazanin"/>
          <w:color w:val="000000"/>
          <w:rtl/>
        </w:rPr>
        <w:t>ان های وجوه</w:t>
      </w:r>
      <w:r w:rsidRPr="001139AD">
        <w:rPr>
          <w:rFonts w:ascii="MS Shell Dlg 2" w:hAnsi="MS Shell Dlg 2" w:cs="B Nazanin"/>
          <w:color w:val="000000"/>
          <w:rtl/>
        </w:rPr>
        <w:t xml:space="preserve"> نقدی، به ویژه طلبکاران، روش مستقیم</w:t>
      </w:r>
      <w:r w:rsidR="006A50E1" w:rsidRPr="001139AD">
        <w:rPr>
          <w:rFonts w:ascii="MS Shell Dlg 2" w:hAnsi="MS Shell Dlg 2" w:cs="B Nazanin"/>
          <w:color w:val="000000"/>
          <w:rtl/>
        </w:rPr>
        <w:t xml:space="preserve"> راترجیح </w:t>
      </w:r>
      <w:r w:rsidR="00AD3497" w:rsidRPr="001139AD">
        <w:rPr>
          <w:rFonts w:ascii="MS Shell Dlg 2" w:hAnsi="MS Shell Dlg 2" w:cs="B Nazanin"/>
          <w:color w:val="000000"/>
          <w:rtl/>
        </w:rPr>
        <w:t>می داد</w:t>
      </w:r>
      <w:r w:rsidR="006A50E1" w:rsidRPr="001139AD">
        <w:rPr>
          <w:rFonts w:ascii="MS Shell Dlg 2" w:hAnsi="MS Shell Dlg 2" w:cs="B Nazanin"/>
          <w:color w:val="000000"/>
          <w:rtl/>
        </w:rPr>
        <w:t>ند</w:t>
      </w:r>
      <w:r w:rsidRPr="001139AD">
        <w:rPr>
          <w:rFonts w:ascii="MS Shell Dlg 2" w:hAnsi="MS Shell Dlg 2" w:cs="B Nazanin"/>
          <w:color w:val="000000"/>
          <w:rtl/>
        </w:rPr>
        <w:t xml:space="preserve">. روش مستقیم گزارش مقدار کل </w:t>
      </w:r>
      <w:r w:rsidR="00BB6183" w:rsidRPr="001139AD">
        <w:rPr>
          <w:rFonts w:ascii="MS Shell Dlg 2" w:hAnsi="MS Shell Dlg 2" w:cs="B Nazanin"/>
          <w:color w:val="000000"/>
          <w:rtl/>
        </w:rPr>
        <w:t>جریان وجوه</w:t>
      </w:r>
      <w:r w:rsidRPr="001139AD">
        <w:rPr>
          <w:rFonts w:ascii="MS Shell Dlg 2" w:hAnsi="MS Shell Dlg 2" w:cs="B Nazanin"/>
          <w:color w:val="000000"/>
          <w:rtl/>
        </w:rPr>
        <w:t xml:space="preserve"> نقد</w:t>
      </w:r>
      <w:r w:rsidR="00BB6183" w:rsidRPr="001139AD">
        <w:rPr>
          <w:rFonts w:ascii="MS Shell Dlg 2" w:hAnsi="MS Shell Dlg 2" w:cs="B Nazanin"/>
          <w:color w:val="000000"/>
          <w:rtl/>
        </w:rPr>
        <w:t xml:space="preserve"> ورودی و خروجی حاصل از فعالیت های عملیاتی را در</w:t>
      </w:r>
      <w:r w:rsidRPr="001139AD">
        <w:rPr>
          <w:rFonts w:ascii="MS Shell Dlg 2" w:hAnsi="MS Shell Dlg 2" w:cs="B Nazanin"/>
          <w:color w:val="000000"/>
          <w:rtl/>
        </w:rPr>
        <w:t xml:space="preserve"> یک شرکت </w:t>
      </w:r>
      <w:r w:rsidR="00BB6183" w:rsidRPr="001139AD">
        <w:rPr>
          <w:rFonts w:ascii="MS Shell Dlg 2" w:hAnsi="MS Shell Dlg 2" w:cs="B Nazanin"/>
          <w:color w:val="000000"/>
          <w:rtl/>
        </w:rPr>
        <w:t>.نشان میدهد.</w:t>
      </w:r>
      <w:r w:rsidRPr="001139AD">
        <w:rPr>
          <w:rFonts w:ascii="MS Shell Dlg 2" w:hAnsi="MS Shell Dlg 2" w:cs="B Nazanin"/>
          <w:color w:val="000000"/>
          <w:rtl/>
        </w:rPr>
        <w:t xml:space="preserve"> ای</w:t>
      </w:r>
      <w:r w:rsidR="00BB2682" w:rsidRPr="001139AD">
        <w:rPr>
          <w:rFonts w:ascii="MS Shell Dlg 2" w:hAnsi="MS Shell Dlg 2" w:cs="B Nazanin"/>
          <w:color w:val="000000"/>
          <w:rtl/>
        </w:rPr>
        <w:t>ن پیشنهاد باید توسط تحلیلگران به بهترین نحو</w:t>
      </w:r>
      <w:r w:rsidRPr="001139AD">
        <w:rPr>
          <w:rFonts w:ascii="MS Shell Dlg 2" w:hAnsi="MS Shell Dlg 2" w:cs="B Nazanin"/>
          <w:color w:val="000000"/>
          <w:rtl/>
        </w:rPr>
        <w:t xml:space="preserve"> </w:t>
      </w:r>
      <w:r w:rsidR="00BB2682" w:rsidRPr="001139AD">
        <w:rPr>
          <w:rFonts w:ascii="MS Shell Dlg 2" w:hAnsi="MS Shell Dlg 2" w:cs="B Nazanin"/>
          <w:color w:val="000000"/>
          <w:rtl/>
        </w:rPr>
        <w:t>بررسی و</w:t>
      </w:r>
      <w:r w:rsidRPr="001139AD">
        <w:rPr>
          <w:rFonts w:ascii="MS Shell Dlg 2" w:hAnsi="MS Shell Dlg 2" w:cs="B Nazanin"/>
          <w:color w:val="000000"/>
          <w:rtl/>
        </w:rPr>
        <w:t>به آسانی</w:t>
      </w:r>
      <w:r w:rsidR="00BB2682" w:rsidRPr="001139AD">
        <w:rPr>
          <w:rFonts w:ascii="MS Shell Dlg 2" w:hAnsi="MS Shell Dlg 2" w:cs="B Nazanin"/>
          <w:color w:val="000000"/>
          <w:rtl/>
        </w:rPr>
        <w:t xml:space="preserve"> در</w:t>
      </w:r>
      <w:r w:rsidRPr="001139AD">
        <w:rPr>
          <w:rFonts w:ascii="MS Shell Dlg 2" w:hAnsi="MS Shell Dlg 2" w:cs="B Nazanin"/>
          <w:color w:val="000000"/>
          <w:rtl/>
        </w:rPr>
        <w:t xml:space="preserve"> ارزیابی میزان </w:t>
      </w:r>
      <w:r w:rsidR="00BB2682" w:rsidRPr="001139AD">
        <w:rPr>
          <w:rFonts w:ascii="MS Shell Dlg 2" w:hAnsi="MS Shell Dlg 2" w:cs="B Nazanin"/>
          <w:color w:val="000000"/>
          <w:rtl/>
        </w:rPr>
        <w:t xml:space="preserve">ورودی </w:t>
      </w:r>
      <w:r w:rsidRPr="001139AD">
        <w:rPr>
          <w:rFonts w:ascii="MS Shell Dlg 2" w:hAnsi="MS Shell Dlg 2" w:cs="B Nazanin"/>
          <w:color w:val="000000"/>
          <w:rtl/>
        </w:rPr>
        <w:t xml:space="preserve">و خروج </w:t>
      </w:r>
      <w:r w:rsidR="00BB2682" w:rsidRPr="001139AD">
        <w:rPr>
          <w:rFonts w:ascii="MS Shell Dlg 2" w:hAnsi="MS Shell Dlg 2" w:cs="B Nazanin"/>
          <w:color w:val="000000"/>
          <w:rtl/>
        </w:rPr>
        <w:t>جریان وجوه نقدی براساس</w:t>
      </w:r>
      <w:r w:rsidRPr="001139AD">
        <w:rPr>
          <w:rFonts w:ascii="MS Shell Dlg 2" w:hAnsi="MS Shell Dlg 2" w:cs="B Nazanin"/>
          <w:color w:val="000000"/>
          <w:rtl/>
        </w:rPr>
        <w:t xml:space="preserve"> </w:t>
      </w:r>
      <w:r w:rsidR="00BB2682" w:rsidRPr="001139AD">
        <w:rPr>
          <w:rFonts w:ascii="MS Shell Dlg 2" w:hAnsi="MS Shell Dlg 2" w:cs="B Nazanin"/>
          <w:color w:val="000000"/>
          <w:rtl/>
        </w:rPr>
        <w:t>نظر</w:t>
      </w:r>
      <w:r w:rsidRPr="001139AD">
        <w:rPr>
          <w:rFonts w:ascii="MS Shell Dlg 2" w:hAnsi="MS Shell Dlg 2" w:cs="B Nazanin"/>
          <w:color w:val="000000"/>
          <w:rtl/>
        </w:rPr>
        <w:t>مدیریت</w:t>
      </w:r>
      <w:r w:rsidR="00BB2682" w:rsidRPr="001139AD">
        <w:rPr>
          <w:rFonts w:ascii="MS Shell Dlg 2" w:hAnsi="MS Shell Dlg 2" w:cs="B Nazanin"/>
          <w:color w:val="000000"/>
          <w:rtl/>
        </w:rPr>
        <w:t xml:space="preserve"> به کارگیری شود </w:t>
      </w:r>
      <w:r w:rsidRPr="001139AD">
        <w:rPr>
          <w:rFonts w:ascii="MS Shell Dlg 2" w:hAnsi="MS Shell Dlg 2" w:cs="B Nazanin"/>
          <w:color w:val="000000"/>
          <w:rtl/>
        </w:rPr>
        <w:t xml:space="preserve">. </w:t>
      </w:r>
      <w:r w:rsidR="006C044F" w:rsidRPr="001139AD">
        <w:rPr>
          <w:rFonts w:ascii="MS Shell Dlg 2" w:hAnsi="MS Shell Dlg 2" w:cs="B Nazanin"/>
          <w:color w:val="000000"/>
          <w:rtl/>
        </w:rPr>
        <w:t xml:space="preserve">به طور معمول </w:t>
      </w:r>
      <w:r w:rsidRPr="001139AD">
        <w:rPr>
          <w:rFonts w:ascii="MS Shell Dlg 2" w:hAnsi="MS Shell Dlg 2" w:cs="B Nazanin"/>
          <w:color w:val="000000"/>
          <w:rtl/>
        </w:rPr>
        <w:t xml:space="preserve">خطرات به وام دهندگان </w:t>
      </w:r>
      <w:r w:rsidR="006C044F" w:rsidRPr="001139AD">
        <w:rPr>
          <w:rFonts w:ascii="MS Shell Dlg 2" w:hAnsi="MS Shell Dlg 2" w:cs="B Nazanin"/>
          <w:color w:val="000000"/>
          <w:rtl/>
        </w:rPr>
        <w:t xml:space="preserve">ازنوسانات </w:t>
      </w:r>
      <w:r w:rsidRPr="001139AD">
        <w:rPr>
          <w:rFonts w:ascii="MS Shell Dlg 2" w:hAnsi="MS Shell Dlg 2" w:cs="B Nazanin"/>
          <w:color w:val="000000"/>
          <w:rtl/>
        </w:rPr>
        <w:t xml:space="preserve">جریان های نقدی حاصل از </w:t>
      </w:r>
      <w:r w:rsidR="006C044F" w:rsidRPr="001139AD">
        <w:rPr>
          <w:rFonts w:ascii="MS Shell Dlg 2" w:hAnsi="MS Shell Dlg 2" w:cs="B Nazanin"/>
          <w:color w:val="000000"/>
          <w:rtl/>
        </w:rPr>
        <w:t xml:space="preserve">فعالیت های </w:t>
      </w:r>
      <w:r w:rsidRPr="001139AD">
        <w:rPr>
          <w:rFonts w:ascii="MS Shell Dlg 2" w:hAnsi="MS Shell Dlg 2" w:cs="B Nazanin"/>
          <w:color w:val="000000"/>
          <w:rtl/>
        </w:rPr>
        <w:t>عملیات</w:t>
      </w:r>
      <w:r w:rsidR="006C044F" w:rsidRPr="001139AD">
        <w:rPr>
          <w:rFonts w:ascii="MS Shell Dlg 2" w:hAnsi="MS Shell Dlg 2" w:cs="B Nazanin" w:hint="cs"/>
          <w:color w:val="000000"/>
          <w:rtl/>
        </w:rPr>
        <w:t>ی</w:t>
      </w:r>
      <w:r w:rsidRPr="001139AD">
        <w:rPr>
          <w:rFonts w:ascii="MS Shell Dlg 2" w:hAnsi="MS Shell Dlg 2" w:cs="B Nazanin"/>
          <w:color w:val="000000"/>
          <w:rtl/>
        </w:rPr>
        <w:t xml:space="preserve"> </w:t>
      </w:r>
      <w:r w:rsidR="006C044F" w:rsidRPr="001139AD">
        <w:rPr>
          <w:rFonts w:ascii="MS Shell Dlg 2" w:hAnsi="MS Shell Dlg 2" w:cs="B Nazanin"/>
          <w:color w:val="000000"/>
          <w:rtl/>
        </w:rPr>
        <w:t xml:space="preserve">در مقایسه با نوسانات </w:t>
      </w:r>
      <w:r w:rsidRPr="001139AD">
        <w:rPr>
          <w:rFonts w:ascii="MS Shell Dlg 2" w:hAnsi="MS Shell Dlg 2" w:cs="B Nazanin"/>
          <w:color w:val="000000"/>
          <w:rtl/>
        </w:rPr>
        <w:t>درآمد خالص بیشتر است</w:t>
      </w:r>
      <w:r w:rsidR="00DB101E" w:rsidRPr="001139AD">
        <w:rPr>
          <w:rFonts w:ascii="MS Shell Dlg 2" w:hAnsi="MS Shell Dlg 2" w:cs="B Nazanin"/>
          <w:color w:val="000000"/>
          <w:rtl/>
        </w:rPr>
        <w:t xml:space="preserve">. اطلاعات مقداری منحصربه فرد از </w:t>
      </w:r>
      <w:r w:rsidRPr="001139AD">
        <w:rPr>
          <w:rFonts w:ascii="MS Shell Dlg 2" w:hAnsi="MS Shell Dlg 2" w:cs="B Nazanin"/>
          <w:color w:val="000000"/>
          <w:rtl/>
        </w:rPr>
        <w:t>دریافتی</w:t>
      </w:r>
      <w:r w:rsidR="00DB101E" w:rsidRPr="001139AD">
        <w:rPr>
          <w:rFonts w:ascii="MS Shell Dlg 2" w:hAnsi="MS Shell Dlg 2" w:cs="B Nazanin"/>
          <w:color w:val="000000"/>
          <w:rtl/>
        </w:rPr>
        <w:t xml:space="preserve"> ها</w:t>
      </w:r>
      <w:r w:rsidRPr="001139AD">
        <w:rPr>
          <w:rFonts w:ascii="MS Shell Dlg 2" w:hAnsi="MS Shell Dlg 2" w:cs="B Nazanin"/>
          <w:color w:val="000000"/>
          <w:rtl/>
        </w:rPr>
        <w:t xml:space="preserve"> و پرداختی </w:t>
      </w:r>
      <w:r w:rsidR="00DB101E" w:rsidRPr="001139AD">
        <w:rPr>
          <w:rFonts w:ascii="MS Shell Dlg 2" w:hAnsi="MS Shell Dlg 2" w:cs="B Nazanin"/>
          <w:color w:val="000000"/>
          <w:rtl/>
        </w:rPr>
        <w:t xml:space="preserve">ها ی وجوه نقد عملیاتی  </w:t>
      </w:r>
      <w:r w:rsidRPr="001139AD">
        <w:rPr>
          <w:rFonts w:ascii="MS Shell Dlg 2" w:hAnsi="MS Shell Dlg 2" w:cs="B Nazanin"/>
          <w:color w:val="000000"/>
          <w:rtl/>
        </w:rPr>
        <w:t>در ارزیابی این نوسانات و خطرات مهم است. این ملاحظات تحلیلی مهم در ابتدا تنظیم کننده را به</w:t>
      </w:r>
      <w:r w:rsidR="00CD6A7E" w:rsidRPr="001139AD">
        <w:rPr>
          <w:rFonts w:ascii="MS Shell Dlg 2" w:hAnsi="MS Shell Dlg 2" w:cs="B Nazanin"/>
          <w:color w:val="000000"/>
          <w:rtl/>
        </w:rPr>
        <w:t xml:space="preserve"> استفاده از</w:t>
      </w:r>
      <w:r w:rsidRPr="001139AD">
        <w:rPr>
          <w:rFonts w:ascii="MS Shell Dlg 2" w:hAnsi="MS Shell Dlg 2" w:cs="B Nazanin"/>
          <w:color w:val="000000"/>
          <w:rtl/>
        </w:rPr>
        <w:t xml:space="preserve"> روش مستقی</w:t>
      </w:r>
      <w:r w:rsidR="00CD6A7E" w:rsidRPr="001139AD">
        <w:rPr>
          <w:rFonts w:ascii="MS Shell Dlg 2" w:hAnsi="MS Shell Dlg 2" w:cs="B Nazanin"/>
          <w:color w:val="000000"/>
          <w:rtl/>
        </w:rPr>
        <w:t xml:space="preserve">م در </w:t>
      </w:r>
      <w:r w:rsidRPr="001139AD">
        <w:rPr>
          <w:rFonts w:ascii="MS Shell Dlg 2" w:hAnsi="MS Shell Dlg 2" w:cs="B Nazanin"/>
          <w:color w:val="000000"/>
          <w:rtl/>
        </w:rPr>
        <w:t>گزارش جریان های نقدی</w:t>
      </w:r>
      <w:r w:rsidR="00D44C59" w:rsidRPr="001139AD">
        <w:rPr>
          <w:rFonts w:ascii="MS Shell Dlg 2" w:hAnsi="MS Shell Dlg 2" w:cs="B Nazanin"/>
          <w:color w:val="000000"/>
          <w:rtl/>
        </w:rPr>
        <w:t xml:space="preserve"> متقاعد می نماید</w:t>
      </w:r>
      <w:r w:rsidRPr="001139AD">
        <w:rPr>
          <w:rFonts w:ascii="MS Shell Dlg 2" w:hAnsi="MS Shell Dlg 2" w:cs="B Nazanin"/>
          <w:color w:val="000000"/>
          <w:rtl/>
        </w:rPr>
        <w:t>.</w:t>
      </w:r>
      <w:r w:rsidR="000B6EA2" w:rsidRPr="001139AD">
        <w:rPr>
          <w:rFonts w:ascii="MS Shell Dlg 2" w:hAnsi="MS Shell Dlg 2" w:cs="B Nazanin"/>
          <w:color w:val="000000"/>
          <w:rtl/>
        </w:rPr>
        <w:t xml:space="preserve"> اما به </w:t>
      </w:r>
      <w:r w:rsidRPr="001139AD">
        <w:rPr>
          <w:rFonts w:ascii="MS Shell Dlg 2" w:hAnsi="MS Shell Dlg 2" w:cs="B Nazanin"/>
          <w:color w:val="000000"/>
          <w:rtl/>
        </w:rPr>
        <w:t>دلیل تهی</w:t>
      </w:r>
      <w:r w:rsidR="00D44C59" w:rsidRPr="001139AD">
        <w:rPr>
          <w:rFonts w:ascii="MS Shell Dlg 2" w:hAnsi="MS Shell Dlg 2" w:cs="B Nazanin"/>
          <w:color w:val="000000"/>
          <w:rtl/>
        </w:rPr>
        <w:t xml:space="preserve">ه </w:t>
      </w:r>
      <w:r w:rsidRPr="001139AD">
        <w:rPr>
          <w:rFonts w:ascii="MS Shell Dlg 2" w:hAnsi="MS Shell Dlg 2" w:cs="B Nazanin"/>
          <w:color w:val="000000"/>
          <w:rtl/>
        </w:rPr>
        <w:t xml:space="preserve">اطلاعات </w:t>
      </w:r>
      <w:r w:rsidR="00D44C59" w:rsidRPr="001139AD">
        <w:rPr>
          <w:rFonts w:ascii="MS Shell Dlg 2" w:hAnsi="MS Shell Dlg 2" w:cs="B Nazanin"/>
          <w:color w:val="000000"/>
          <w:rtl/>
        </w:rPr>
        <w:t xml:space="preserve">پیرامون این </w:t>
      </w:r>
      <w:r w:rsidRPr="001139AD">
        <w:rPr>
          <w:rFonts w:ascii="MS Shell Dlg 2" w:hAnsi="MS Shell Dlg 2" w:cs="B Nazanin"/>
          <w:color w:val="000000"/>
          <w:rtl/>
        </w:rPr>
        <w:t xml:space="preserve">ادعا </w:t>
      </w:r>
      <w:r w:rsidR="00D44C59" w:rsidRPr="001139AD">
        <w:rPr>
          <w:rFonts w:ascii="MS Shell Dlg 2" w:hAnsi="MS Shell Dlg 2" w:cs="B Nazanin"/>
          <w:color w:val="000000"/>
          <w:rtl/>
        </w:rPr>
        <w:t>،</w:t>
      </w:r>
      <w:bookmarkStart w:id="1" w:name="OLE_LINK1"/>
      <w:bookmarkStart w:id="2" w:name="OLE_LINK2"/>
      <w:r w:rsidR="000B6EA2" w:rsidRPr="001139AD">
        <w:rPr>
          <w:rFonts w:ascii="MS Shell Dlg 2" w:hAnsi="MS Shell Dlg 2" w:cs="B Nazanin"/>
          <w:color w:val="000000"/>
          <w:rtl/>
        </w:rPr>
        <w:t xml:space="preserve"> اجرای</w:t>
      </w:r>
      <w:bookmarkEnd w:id="1"/>
      <w:bookmarkEnd w:id="2"/>
      <w:r w:rsidR="000B6EA2" w:rsidRPr="001139AD">
        <w:rPr>
          <w:rFonts w:ascii="MS Shell Dlg 2" w:hAnsi="MS Shell Dlg 2" w:cs="B Nazanin"/>
          <w:color w:val="000000"/>
          <w:rtl/>
        </w:rPr>
        <w:t xml:space="preserve"> </w:t>
      </w:r>
      <w:r w:rsidRPr="001139AD">
        <w:rPr>
          <w:rFonts w:ascii="MS Shell Dlg 2" w:hAnsi="MS Shell Dlg 2" w:cs="B Nazanin"/>
          <w:color w:val="000000"/>
          <w:rtl/>
        </w:rPr>
        <w:t xml:space="preserve">این روش </w:t>
      </w:r>
      <w:r w:rsidR="00D44C59" w:rsidRPr="001139AD">
        <w:rPr>
          <w:rFonts w:ascii="MS Shell Dlg 2" w:hAnsi="MS Shell Dlg 2" w:cs="B Nazanin"/>
          <w:color w:val="000000"/>
          <w:rtl/>
        </w:rPr>
        <w:t xml:space="preserve">موجب تحمیل </w:t>
      </w:r>
      <w:r w:rsidR="000B6EA2" w:rsidRPr="001139AD">
        <w:rPr>
          <w:rFonts w:ascii="MS Shell Dlg 2" w:hAnsi="MS Shell Dlg 2" w:cs="B Nazanin"/>
          <w:color w:val="000000"/>
          <w:rtl/>
        </w:rPr>
        <w:t xml:space="preserve">هزینه </w:t>
      </w:r>
      <w:r w:rsidR="00D44C59" w:rsidRPr="001139AD">
        <w:rPr>
          <w:rFonts w:ascii="MS Shell Dlg 2" w:hAnsi="MS Shell Dlg 2" w:cs="B Nazanin"/>
          <w:color w:val="000000"/>
          <w:rtl/>
        </w:rPr>
        <w:t xml:space="preserve">بیش از اندازه </w:t>
      </w:r>
      <w:r w:rsidR="000B6EA2" w:rsidRPr="001139AD">
        <w:rPr>
          <w:rFonts w:ascii="MS Shell Dlg 2" w:hAnsi="MS Shell Dlg 2" w:cs="B Nazanin"/>
          <w:color w:val="000000"/>
          <w:rtl/>
        </w:rPr>
        <w:t>را داردلذا</w:t>
      </w:r>
      <w:r w:rsidRPr="001139AD">
        <w:rPr>
          <w:rFonts w:ascii="MS Shell Dlg 2" w:hAnsi="MS Shell Dlg 2" w:cs="B Nazanin"/>
          <w:color w:val="000000"/>
          <w:rtl/>
        </w:rPr>
        <w:t xml:space="preserve"> تنظیم کننده تصمیم به </w:t>
      </w:r>
      <w:r w:rsidR="000B6EA2" w:rsidRPr="001139AD">
        <w:rPr>
          <w:rFonts w:ascii="MS Shell Dlg 2" w:hAnsi="MS Shell Dlg 2" w:cs="B Nazanin"/>
          <w:color w:val="000000"/>
          <w:rtl/>
        </w:rPr>
        <w:t xml:space="preserve">تشویق </w:t>
      </w:r>
      <w:r w:rsidRPr="001139AD">
        <w:rPr>
          <w:rFonts w:ascii="MS Shell Dlg 2" w:hAnsi="MS Shell Dlg 2" w:cs="B Nazanin"/>
          <w:color w:val="000000"/>
          <w:rtl/>
        </w:rPr>
        <w:t xml:space="preserve">روش مستقیم و </w:t>
      </w:r>
      <w:r w:rsidR="000B6EA2" w:rsidRPr="001139AD">
        <w:rPr>
          <w:rFonts w:ascii="MS Shell Dlg 2" w:hAnsi="MS Shell Dlg 2" w:cs="B Nazanin"/>
          <w:color w:val="000000"/>
          <w:rtl/>
        </w:rPr>
        <w:t>مجازبودن به</w:t>
      </w:r>
      <w:r w:rsidRPr="001139AD">
        <w:rPr>
          <w:rFonts w:ascii="MS Shell Dlg 2" w:hAnsi="MS Shell Dlg 2" w:cs="B Nazanin"/>
          <w:color w:val="000000"/>
          <w:rtl/>
        </w:rPr>
        <w:t xml:space="preserve"> استفاده از روش غیر مستقیم</w:t>
      </w:r>
      <w:r w:rsidR="000B6EA2" w:rsidRPr="001139AD">
        <w:rPr>
          <w:rFonts w:ascii="MS Shell Dlg 2" w:hAnsi="MS Shell Dlg 2" w:cs="B Nazanin"/>
          <w:color w:val="000000"/>
          <w:rtl/>
        </w:rPr>
        <w:t xml:space="preserve"> است .</w:t>
      </w:r>
      <w:r w:rsidRPr="001139AD">
        <w:rPr>
          <w:rFonts w:ascii="MS Shell Dlg 2" w:hAnsi="MS Shell Dlg 2" w:cs="B Nazanin"/>
          <w:color w:val="000000"/>
          <w:rtl/>
        </w:rPr>
        <w:t>هنگامی که</w:t>
      </w:r>
      <w:r w:rsidR="00AC056D" w:rsidRPr="001139AD">
        <w:rPr>
          <w:rFonts w:ascii="MS Shell Dlg 2" w:hAnsi="MS Shell Dlg 2" w:cs="B Nazanin"/>
          <w:color w:val="000000"/>
          <w:rtl/>
        </w:rPr>
        <w:t xml:space="preserve"> برای تهیه </w:t>
      </w:r>
      <w:r w:rsidR="008A2C0A" w:rsidRPr="001139AD">
        <w:rPr>
          <w:rFonts w:ascii="MS Shell Dlg 2" w:hAnsi="MS Shell Dlg 2" w:cs="B Nazanin"/>
          <w:color w:val="000000"/>
          <w:rtl/>
        </w:rPr>
        <w:t xml:space="preserve">گزارش </w:t>
      </w:r>
      <w:r w:rsidRPr="001139AD">
        <w:rPr>
          <w:rFonts w:ascii="MS Shell Dlg 2" w:hAnsi="MS Shell Dlg 2" w:cs="B Nazanin"/>
          <w:color w:val="000000"/>
          <w:rtl/>
        </w:rPr>
        <w:t>شرکت از روش مستقیم</w:t>
      </w:r>
      <w:r w:rsidR="00AC056D" w:rsidRPr="001139AD">
        <w:rPr>
          <w:rFonts w:ascii="MS Shell Dlg 2" w:hAnsi="MS Shell Dlg 2" w:cs="B Nazanin"/>
          <w:color w:val="000000"/>
          <w:rtl/>
        </w:rPr>
        <w:t xml:space="preserve"> استفاده می شود ، </w:t>
      </w:r>
      <w:r w:rsidRPr="001139AD">
        <w:rPr>
          <w:rFonts w:ascii="MS Shell Dlg 2" w:hAnsi="MS Shell Dlg 2" w:cs="B Nazanin"/>
          <w:color w:val="000000"/>
          <w:rtl/>
        </w:rPr>
        <w:t xml:space="preserve"> بای</w:t>
      </w:r>
      <w:r w:rsidR="00AC056D" w:rsidRPr="001139AD">
        <w:rPr>
          <w:rFonts w:ascii="MS Shell Dlg 2" w:hAnsi="MS Shell Dlg 2" w:cs="B Nazanin"/>
          <w:color w:val="000000"/>
          <w:rtl/>
        </w:rPr>
        <w:t xml:space="preserve">ستی </w:t>
      </w:r>
      <w:r w:rsidRPr="001139AD">
        <w:rPr>
          <w:rFonts w:ascii="MS Shell Dlg 2" w:hAnsi="MS Shell Dlg 2" w:cs="B Nazanin"/>
          <w:color w:val="000000"/>
          <w:rtl/>
        </w:rPr>
        <w:t xml:space="preserve"> </w:t>
      </w:r>
      <w:r w:rsidR="00AC056D" w:rsidRPr="001139AD">
        <w:rPr>
          <w:rFonts w:ascii="MS Shell Dlg 2" w:hAnsi="MS Shell Dlg 2" w:cs="B Nazanin"/>
          <w:color w:val="000000"/>
          <w:rtl/>
        </w:rPr>
        <w:t>اصلاحات صورت گرفته در درآمد خالص از</w:t>
      </w:r>
      <w:r w:rsidRPr="001139AD">
        <w:rPr>
          <w:rFonts w:ascii="MS Shell Dlg 2" w:hAnsi="MS Shell Dlg 2" w:cs="B Nazanin"/>
          <w:color w:val="000000"/>
          <w:rtl/>
        </w:rPr>
        <w:t xml:space="preserve"> جریان های نقدی</w:t>
      </w:r>
      <w:r w:rsidR="00AC056D" w:rsidRPr="001139AD">
        <w:rPr>
          <w:rFonts w:ascii="MS Shell Dlg 2" w:hAnsi="MS Shell Dlg 2" w:cs="B Nazanin"/>
          <w:color w:val="000000"/>
          <w:rtl/>
        </w:rPr>
        <w:t xml:space="preserve"> </w:t>
      </w:r>
      <w:r w:rsidRPr="001139AD">
        <w:rPr>
          <w:rFonts w:ascii="MS Shell Dlg 2" w:hAnsi="MS Shell Dlg 2" w:cs="B Nazanin"/>
          <w:color w:val="000000"/>
          <w:rtl/>
        </w:rPr>
        <w:t>عملیات</w:t>
      </w:r>
      <w:r w:rsidR="00AC056D" w:rsidRPr="001139AD">
        <w:rPr>
          <w:rFonts w:ascii="MS Shell Dlg 2" w:hAnsi="MS Shell Dlg 2" w:cs="B Nazanin" w:hint="cs"/>
          <w:color w:val="000000"/>
          <w:rtl/>
        </w:rPr>
        <w:t>ی</w:t>
      </w:r>
      <w:r w:rsidRPr="001139AD">
        <w:rPr>
          <w:rFonts w:ascii="MS Shell Dlg 2" w:hAnsi="MS Shell Dlg 2" w:cs="B Nazanin"/>
          <w:color w:val="000000"/>
          <w:rtl/>
        </w:rPr>
        <w:t xml:space="preserve"> در یک برنامه جداگانه افشا</w:t>
      </w:r>
      <w:r w:rsidR="00AC056D" w:rsidRPr="001139AD">
        <w:rPr>
          <w:rFonts w:ascii="MS Shell Dlg 2" w:hAnsi="MS Shell Dlg 2" w:cs="B Nazanin"/>
          <w:color w:val="000000"/>
          <w:rtl/>
        </w:rPr>
        <w:t xml:space="preserve"> شود</w:t>
      </w:r>
      <w:r w:rsidRPr="001139AD">
        <w:rPr>
          <w:rFonts w:ascii="MS Shell Dlg 2" w:hAnsi="MS Shell Dlg 2" w:cs="B Nazanin"/>
          <w:color w:val="000000"/>
          <w:rtl/>
        </w:rPr>
        <w:t>. آنها همچنین، حداقل، باید موارد زیر را وجوه</w:t>
      </w:r>
      <w:r w:rsidR="00AC056D" w:rsidRPr="001139AD">
        <w:rPr>
          <w:rFonts w:ascii="MS Shell Dlg 2" w:hAnsi="MS Shell Dlg 2" w:cs="B Nazanin"/>
          <w:color w:val="000000"/>
          <w:rtl/>
        </w:rPr>
        <w:t xml:space="preserve"> نقد</w:t>
      </w:r>
      <w:r w:rsidRPr="001139AD">
        <w:rPr>
          <w:rFonts w:ascii="MS Shell Dlg 2" w:hAnsi="MS Shell Dlg 2" w:cs="B Nazanin"/>
          <w:color w:val="000000"/>
          <w:rtl/>
        </w:rPr>
        <w:t xml:space="preserve"> دریافتی و پرداخت</w:t>
      </w:r>
      <w:r w:rsidR="00AC056D" w:rsidRPr="001139AD">
        <w:rPr>
          <w:rFonts w:ascii="MS Shell Dlg 2" w:hAnsi="MS Shell Dlg 2" w:cs="B Nazanin"/>
          <w:color w:val="000000"/>
          <w:rtl/>
        </w:rPr>
        <w:t>ن</w:t>
      </w:r>
      <w:r w:rsidRPr="001139AD">
        <w:rPr>
          <w:rFonts w:ascii="MS Shell Dlg 2" w:hAnsi="MS Shell Dlg 2" w:cs="B Nazanin" w:hint="cs"/>
          <w:color w:val="000000"/>
          <w:rtl/>
        </w:rPr>
        <w:t>ی</w:t>
      </w:r>
      <w:r w:rsidRPr="001139AD">
        <w:rPr>
          <w:rFonts w:ascii="MS Shell Dlg 2" w:hAnsi="MS Shell Dlg 2" w:cs="B Nazanin"/>
          <w:color w:val="000000"/>
          <w:rtl/>
        </w:rPr>
        <w:t xml:space="preserve"> گزارش</w:t>
      </w:r>
      <w:r w:rsidR="00AC056D" w:rsidRPr="001139AD">
        <w:rPr>
          <w:rFonts w:ascii="MS Shell Dlg 2" w:hAnsi="MS Shell Dlg 2" w:cs="B Nazanin"/>
          <w:color w:val="000000"/>
          <w:rtl/>
        </w:rPr>
        <w:t xml:space="preserve"> نمایند</w:t>
      </w:r>
      <w:r w:rsidRPr="001139AD">
        <w:rPr>
          <w:rFonts w:ascii="MS Shell Dlg 2" w:hAnsi="MS Shell Dlg 2" w:cs="B Nazanin"/>
          <w:color w:val="000000"/>
        </w:rPr>
        <w:t>:</w:t>
      </w:r>
    </w:p>
    <w:p w:rsidR="00036358" w:rsidRPr="001139AD" w:rsidRDefault="00036358" w:rsidP="00E224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color w:val="000000"/>
        </w:rPr>
      </w:pPr>
      <w:r w:rsidRPr="001139AD">
        <w:rPr>
          <w:rFonts w:ascii="MS Shell Dlg 2" w:hAnsi="MS Shell Dlg 2" w:cs="B Nazanin"/>
          <w:color w:val="000000"/>
          <w:rtl/>
        </w:rPr>
        <w:t>رسید</w:t>
      </w:r>
      <w:r w:rsidRPr="001139AD">
        <w:rPr>
          <w:rFonts w:ascii="MS Shell Dlg 2" w:hAnsi="MS Shell Dlg 2" w:cs="B Nazanin"/>
          <w:color w:val="000000"/>
        </w:rPr>
        <w:t>:</w:t>
      </w:r>
      <w:r w:rsidRPr="001139AD">
        <w:rPr>
          <w:rFonts w:ascii="MS Shell Dlg 2" w:hAnsi="MS Shell Dlg 2" w:cs="B Nazanin"/>
          <w:color w:val="000000"/>
          <w:rtl/>
        </w:rPr>
        <w:t xml:space="preserve"> </w:t>
      </w:r>
    </w:p>
    <w:p w:rsidR="00036358" w:rsidRPr="001139AD" w:rsidRDefault="00036358" w:rsidP="00E224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color w:val="000000"/>
        </w:rPr>
      </w:pPr>
      <w:r w:rsidRPr="001139AD">
        <w:rPr>
          <w:rFonts w:ascii="MS Shell Dlg 2" w:hAnsi="MS Shell Dlg 2" w:cs="B Nazanin"/>
          <w:color w:val="000000"/>
        </w:rPr>
        <w:t xml:space="preserve"> </w:t>
      </w:r>
      <w:r w:rsidR="00E2248A" w:rsidRPr="001139AD">
        <w:rPr>
          <w:rFonts w:ascii="MS Shell Dlg 2" w:hAnsi="MS Shell Dlg 2" w:cs="B Nazanin"/>
          <w:color w:val="000000"/>
          <w:rtl/>
        </w:rPr>
        <w:t xml:space="preserve">وجوه </w:t>
      </w:r>
      <w:r w:rsidRPr="001139AD">
        <w:rPr>
          <w:rFonts w:ascii="MS Shell Dlg 2" w:hAnsi="MS Shell Dlg 2" w:cs="B Nazanin"/>
          <w:color w:val="000000"/>
          <w:rtl/>
        </w:rPr>
        <w:t>نقدی از مشتریان، از جمله</w:t>
      </w:r>
      <w:r w:rsidR="00F24544" w:rsidRPr="001139AD">
        <w:rPr>
          <w:rFonts w:ascii="MS Shell Dlg 2" w:hAnsi="MS Shell Dlg 2" w:cs="B Nazanin"/>
          <w:color w:val="000000"/>
          <w:rtl/>
        </w:rPr>
        <w:t>، اجاره ،</w:t>
      </w:r>
      <w:r w:rsidRPr="001139AD">
        <w:rPr>
          <w:rFonts w:ascii="MS Shell Dlg 2" w:hAnsi="MS Shell Dlg 2" w:cs="B Nazanin"/>
          <w:color w:val="000000"/>
          <w:rtl/>
        </w:rPr>
        <w:t xml:space="preserve"> پروانه، و </w:t>
      </w:r>
      <w:r w:rsidR="00F24544" w:rsidRPr="001139AD">
        <w:rPr>
          <w:rFonts w:ascii="MS Shell Dlg 2" w:hAnsi="MS Shell Dlg 2" w:cs="B Nazanin"/>
          <w:color w:val="000000"/>
          <w:rtl/>
        </w:rPr>
        <w:t xml:space="preserve">موارد </w:t>
      </w:r>
      <w:r w:rsidRPr="001139AD">
        <w:rPr>
          <w:rFonts w:ascii="MS Shell Dlg 2" w:hAnsi="MS Shell Dlg 2" w:cs="B Nazanin"/>
          <w:color w:val="000000"/>
          <w:rtl/>
        </w:rPr>
        <w:t>مشابه</w:t>
      </w:r>
      <w:r w:rsidRPr="001139AD">
        <w:rPr>
          <w:rFonts w:ascii="MS Shell Dlg 2" w:hAnsi="MS Shell Dlg 2" w:cs="B Nazanin"/>
          <w:color w:val="000000"/>
        </w:rPr>
        <w:t>.</w:t>
      </w:r>
    </w:p>
    <w:p w:rsidR="00036358" w:rsidRPr="001139AD" w:rsidRDefault="00036358" w:rsidP="00F2454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color w:val="000000"/>
        </w:rPr>
      </w:pPr>
      <w:r w:rsidRPr="001139AD">
        <w:rPr>
          <w:rFonts w:ascii="MS Shell Dlg 2" w:hAnsi="MS Shell Dlg 2" w:cs="B Nazanin"/>
          <w:color w:val="000000"/>
        </w:rPr>
        <w:t xml:space="preserve"> </w:t>
      </w:r>
      <w:r w:rsidRPr="001139AD">
        <w:rPr>
          <w:rFonts w:ascii="MS Shell Dlg 2" w:hAnsi="MS Shell Dlg 2" w:cs="B Nazanin"/>
          <w:color w:val="000000"/>
          <w:rtl/>
        </w:rPr>
        <w:t>بهره و سود سهام پرداخت</w:t>
      </w:r>
      <w:r w:rsidR="00F24544" w:rsidRPr="001139AD">
        <w:rPr>
          <w:rFonts w:ascii="MS Shell Dlg 2" w:hAnsi="MS Shell Dlg 2" w:cs="B Nazanin" w:hint="cs"/>
          <w:color w:val="000000"/>
          <w:rtl/>
        </w:rPr>
        <w:t>ی</w:t>
      </w:r>
      <w:r w:rsidR="00F24544" w:rsidRPr="001139AD">
        <w:rPr>
          <w:rFonts w:ascii="MS Shell Dlg 2" w:hAnsi="MS Shell Dlg 2" w:cs="B Nazanin"/>
          <w:color w:val="000000"/>
          <w:rtl/>
        </w:rPr>
        <w:t xml:space="preserve"> مورد قبول .</w:t>
      </w:r>
    </w:p>
    <w:p w:rsidR="00036358" w:rsidRPr="001139AD" w:rsidRDefault="00036358" w:rsidP="000363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color w:val="000000"/>
          <w:rtl/>
        </w:rPr>
      </w:pPr>
      <w:r w:rsidRPr="001139AD">
        <w:rPr>
          <w:rFonts w:ascii="MS Shell Dlg 2" w:hAnsi="MS Shell Dlg 2" w:cs="B Nazanin"/>
          <w:color w:val="000000"/>
        </w:rPr>
        <w:t xml:space="preserve"> </w:t>
      </w:r>
      <w:r w:rsidRPr="001139AD">
        <w:rPr>
          <w:rFonts w:ascii="MS Shell Dlg 2" w:hAnsi="MS Shell Dlg 2" w:cs="B Nazanin"/>
          <w:color w:val="000000"/>
          <w:rtl/>
        </w:rPr>
        <w:t xml:space="preserve">دیگر عامل وجوه </w:t>
      </w:r>
      <w:r w:rsidR="00F24544" w:rsidRPr="001139AD">
        <w:rPr>
          <w:rFonts w:ascii="MS Shell Dlg 2" w:hAnsi="MS Shell Dlg 2" w:cs="B Nazanin"/>
          <w:color w:val="000000"/>
          <w:rtl/>
        </w:rPr>
        <w:t xml:space="preserve">نقد عملیاتی </w:t>
      </w:r>
      <w:r w:rsidRPr="001139AD">
        <w:rPr>
          <w:rFonts w:ascii="MS Shell Dlg 2" w:hAnsi="MS Shell Dlg 2" w:cs="B Nazanin"/>
          <w:color w:val="000000"/>
          <w:rtl/>
        </w:rPr>
        <w:t>دریافتی، در صورت وجود</w:t>
      </w:r>
      <w:r w:rsidRPr="001139AD">
        <w:rPr>
          <w:rFonts w:ascii="MS Shell Dlg 2" w:hAnsi="MS Shell Dlg 2" w:cs="B Nazanin"/>
          <w:color w:val="000000"/>
        </w:rPr>
        <w:t>.</w:t>
      </w:r>
    </w:p>
    <w:sectPr w:rsidR="00036358" w:rsidRPr="001139AD" w:rsidSect="00A06F93">
      <w:pgSz w:w="12240" w:h="15840"/>
      <w:pgMar w:top="1440" w:right="474" w:bottom="142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AAD79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129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DD3"/>
    <w:rsid w:val="00026457"/>
    <w:rsid w:val="00036358"/>
    <w:rsid w:val="000B6EA2"/>
    <w:rsid w:val="000D10BF"/>
    <w:rsid w:val="001139AD"/>
    <w:rsid w:val="00121021"/>
    <w:rsid w:val="001C1C68"/>
    <w:rsid w:val="001D1B1E"/>
    <w:rsid w:val="001E5E29"/>
    <w:rsid w:val="002173E0"/>
    <w:rsid w:val="002E08CA"/>
    <w:rsid w:val="003624BA"/>
    <w:rsid w:val="00383700"/>
    <w:rsid w:val="003D1E61"/>
    <w:rsid w:val="003E6092"/>
    <w:rsid w:val="003F2CC8"/>
    <w:rsid w:val="00437AA9"/>
    <w:rsid w:val="005C2E91"/>
    <w:rsid w:val="005E5B56"/>
    <w:rsid w:val="006A50E1"/>
    <w:rsid w:val="006C044F"/>
    <w:rsid w:val="008A2C0A"/>
    <w:rsid w:val="008B1D56"/>
    <w:rsid w:val="009D0B2E"/>
    <w:rsid w:val="009E77B1"/>
    <w:rsid w:val="009F0BD8"/>
    <w:rsid w:val="00A06F93"/>
    <w:rsid w:val="00A64DD3"/>
    <w:rsid w:val="00AC056D"/>
    <w:rsid w:val="00AD3497"/>
    <w:rsid w:val="00B32088"/>
    <w:rsid w:val="00B97A36"/>
    <w:rsid w:val="00BB2682"/>
    <w:rsid w:val="00BB6183"/>
    <w:rsid w:val="00C10758"/>
    <w:rsid w:val="00C16CD6"/>
    <w:rsid w:val="00CB4DB1"/>
    <w:rsid w:val="00CD6A7E"/>
    <w:rsid w:val="00D44C59"/>
    <w:rsid w:val="00DB101E"/>
    <w:rsid w:val="00DC3C37"/>
    <w:rsid w:val="00E2248A"/>
    <w:rsid w:val="00E25984"/>
    <w:rsid w:val="00EA7584"/>
    <w:rsid w:val="00F24544"/>
    <w:rsid w:val="00FD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200" w:line="276" w:lineRule="auto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4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4DD3"/>
    <w:rPr>
      <w:rFonts w:ascii="Tahoma" w:hAnsi="Tahoma"/>
      <w:sz w:val="16"/>
    </w:rPr>
  </w:style>
  <w:style w:type="table" w:styleId="TableGrid">
    <w:name w:val="Table Grid"/>
    <w:basedOn w:val="TableNormal"/>
    <w:uiPriority w:val="59"/>
    <w:rsid w:val="00A64DD3"/>
    <w:rPr>
      <w:rFonts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200" w:line="276" w:lineRule="auto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4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4DD3"/>
    <w:rPr>
      <w:rFonts w:ascii="Tahoma" w:hAnsi="Tahoma"/>
      <w:sz w:val="16"/>
    </w:rPr>
  </w:style>
  <w:style w:type="table" w:styleId="TableGrid">
    <w:name w:val="Table Grid"/>
    <w:basedOn w:val="TableNormal"/>
    <w:uiPriority w:val="59"/>
    <w:rsid w:val="00A64DD3"/>
    <w:rPr>
      <w:rFonts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2015-01-02T17:13:00Z</dcterms:created>
  <dcterms:modified xsi:type="dcterms:W3CDTF">2015-01-02T17:13:00Z</dcterms:modified>
</cp:coreProperties>
</file>