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A5" w:rsidRDefault="00E340A5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Arial" w:hAnsi="Arial"/>
          <w:sz w:val="24"/>
          <w:szCs w:val="24"/>
          <w:rtl/>
        </w:rPr>
      </w:pPr>
      <w:bookmarkStart w:id="0" w:name="_GoBack"/>
      <w:bookmarkEnd w:id="0"/>
    </w:p>
    <w:p w:rsidR="00064BD0" w:rsidRPr="000C3A05" w:rsidRDefault="00064BD0" w:rsidP="007D10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MS Shell Dlg 2" w:hAnsi="MS Shell Dlg 2" w:cs="B Titr"/>
          <w:sz w:val="18"/>
          <w:szCs w:val="18"/>
          <w:rtl/>
        </w:rPr>
      </w:pPr>
    </w:p>
    <w:p w:rsidR="007D105E" w:rsidRPr="000C3A05" w:rsidRDefault="007D105E" w:rsidP="007D10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B Titr"/>
          <w:sz w:val="24"/>
          <w:szCs w:val="24"/>
          <w:rtl/>
        </w:rPr>
      </w:pPr>
      <w:r w:rsidRPr="000C3A05">
        <w:rPr>
          <w:rFonts w:ascii="MS Shell Dlg 2" w:hAnsi="MS Shell Dlg 2" w:cs="B Titr"/>
          <w:sz w:val="24"/>
          <w:szCs w:val="24"/>
          <w:rtl/>
        </w:rPr>
        <w:t>بازسازی معاملات</w:t>
      </w:r>
      <w:r w:rsidRPr="000C3A05">
        <w:rPr>
          <w:rFonts w:ascii="Arial" w:hAnsi="Arial" w:cs="B Titr"/>
          <w:sz w:val="24"/>
          <w:szCs w:val="24"/>
          <w:rtl/>
        </w:rPr>
        <w:t xml:space="preserve"> (رویدادهای مالی )</w:t>
      </w:r>
    </w:p>
    <w:p w:rsidR="007D105E" w:rsidRPr="000C3A05" w:rsidRDefault="007D105E" w:rsidP="00BA248E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  <w:rtl/>
        </w:rPr>
      </w:pPr>
      <w:r w:rsidRPr="000C3A05">
        <w:rPr>
          <w:rFonts w:ascii="MS Shell Dlg 2" w:hAnsi="MS Shell Dlg 2" w:cs="B Nazanin"/>
          <w:sz w:val="24"/>
          <w:szCs w:val="24"/>
          <w:rtl/>
        </w:rPr>
        <w:t>در این بخش ما توصیف واقعی را با استفاده از</w:t>
      </w:r>
      <w:r w:rsidRPr="000C3A05">
        <w:rPr>
          <w:rFonts w:ascii="MS Shell Dlg 2" w:hAnsi="MS Shell Dlg 2" w:cs="B Nazanin"/>
          <w:sz w:val="24"/>
          <w:szCs w:val="24"/>
        </w:rPr>
        <w:t xml:space="preserve"> 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حساب های </w:t>
      </w:r>
      <w:r w:rsidRPr="000C3A05">
        <w:rPr>
          <w:rFonts w:ascii="MS Shell Dlg 2" w:hAnsi="MS Shell Dlg 2" w:cs="B Nazanin"/>
          <w:sz w:val="24"/>
          <w:szCs w:val="24"/>
        </w:rPr>
        <w:t>T-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 </w:t>
      </w:r>
      <w:r w:rsidR="00BA248E" w:rsidRPr="000C3A05">
        <w:rPr>
          <w:rFonts w:ascii="MS Shell Dlg 2" w:hAnsi="MS Shell Dlg 2" w:cs="B Nazanin"/>
          <w:sz w:val="24"/>
          <w:szCs w:val="24"/>
          <w:rtl/>
        </w:rPr>
        <w:t xml:space="preserve">بازسازی می نماییم  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، و </w:t>
      </w:r>
      <w:r w:rsidR="00B17F1A" w:rsidRPr="000C3A05">
        <w:rPr>
          <w:rFonts w:ascii="MS Shell Dlg 2" w:hAnsi="MS Shell Dlg 2" w:cs="B Nazanin"/>
          <w:sz w:val="24"/>
          <w:szCs w:val="24"/>
          <w:rtl/>
        </w:rPr>
        <w:t>تجزیه و تحلیل رویداد های مالی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 را</w:t>
      </w:r>
      <w:r w:rsidR="00B17F1A" w:rsidRPr="000C3A05">
        <w:rPr>
          <w:rFonts w:ascii="MS Shell Dlg 2" w:hAnsi="MS Shell Dlg 2" w:cs="B Nazanin"/>
          <w:sz w:val="24"/>
          <w:szCs w:val="24"/>
          <w:rtl/>
        </w:rPr>
        <w:t xml:space="preserve"> با استفاده از ثبت </w:t>
      </w:r>
      <w:r w:rsidRPr="000C3A05">
        <w:rPr>
          <w:rFonts w:ascii="MS Shell Dlg 2" w:hAnsi="MS Shell Dlg 2" w:cs="B Nazanin"/>
          <w:sz w:val="24"/>
          <w:szCs w:val="24"/>
          <w:rtl/>
        </w:rPr>
        <w:t>حسابداری، برای شرکت واتر</w:t>
      </w:r>
      <w:r w:rsidR="00B17F1A" w:rsidRPr="000C3A05">
        <w:rPr>
          <w:rFonts w:ascii="MS Shell Dlg 2" w:hAnsi="MS Shell Dlg 2" w:cs="B Nazanin"/>
          <w:sz w:val="24"/>
          <w:szCs w:val="24"/>
          <w:rtl/>
        </w:rPr>
        <w:t>(</w:t>
      </w:r>
      <w:r w:rsidR="00B17F1A" w:rsidRPr="000C3A05">
        <w:rPr>
          <w:rFonts w:ascii="MS Shell Dlg 2" w:hAnsi="MS Shell Dlg 2" w:cs="B Nazanin"/>
          <w:sz w:val="24"/>
          <w:szCs w:val="24"/>
        </w:rPr>
        <w:t>watter</w:t>
      </w:r>
      <w:r w:rsidR="00B17F1A" w:rsidRPr="000C3A05">
        <w:rPr>
          <w:rFonts w:ascii="MS Shell Dlg 2" w:hAnsi="MS Shell Dlg 2" w:cs="B Nazanin"/>
          <w:sz w:val="24"/>
          <w:szCs w:val="24"/>
          <w:rtl/>
        </w:rPr>
        <w:t>)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 انجام می دهیم </w:t>
      </w:r>
      <w:r w:rsidRPr="000C3A05">
        <w:rPr>
          <w:rFonts w:ascii="MS Shell Dlg 2" w:hAnsi="MS Shell Dlg 2" w:cs="B Nazanin"/>
          <w:sz w:val="24"/>
          <w:szCs w:val="24"/>
        </w:rPr>
        <w:t>.</w:t>
      </w:r>
    </w:p>
    <w:p w:rsidR="004B62A1" w:rsidRPr="000C3A05" w:rsidRDefault="004B62A1" w:rsidP="004B62A1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Titr"/>
          <w:sz w:val="24"/>
          <w:szCs w:val="24"/>
        </w:rPr>
      </w:pPr>
      <w:r w:rsidRPr="000C3A05">
        <w:rPr>
          <w:rFonts w:ascii="MS Shell Dlg 2" w:hAnsi="MS Shell Dlg 2" w:cs="B Titr"/>
          <w:sz w:val="24"/>
          <w:szCs w:val="24"/>
          <w:rtl/>
        </w:rPr>
        <w:t>حساب</w:t>
      </w:r>
      <w:r w:rsidRPr="000C3A05">
        <w:rPr>
          <w:rFonts w:ascii="MS Shell Dlg 2" w:hAnsi="MS Shell Dlg 2" w:cs="B Titr"/>
          <w:sz w:val="24"/>
          <w:szCs w:val="24"/>
        </w:rPr>
        <w:t xml:space="preserve"> </w:t>
      </w:r>
      <w:r w:rsidRPr="000C3A05">
        <w:rPr>
          <w:rFonts w:ascii="MS Shell Dlg 2" w:hAnsi="MS Shell Dlg 2" w:cs="B Titr"/>
          <w:sz w:val="24"/>
          <w:szCs w:val="24"/>
          <w:rtl/>
        </w:rPr>
        <w:t>های</w:t>
      </w:r>
      <w:r w:rsidRPr="000C3A05">
        <w:rPr>
          <w:rFonts w:ascii="MS Shell Dlg 2" w:hAnsi="MS Shell Dlg 2" w:cs="B Titr"/>
          <w:sz w:val="24"/>
          <w:szCs w:val="24"/>
        </w:rPr>
        <w:t xml:space="preserve">T </w:t>
      </w:r>
      <w:r w:rsidRPr="000C3A05">
        <w:rPr>
          <w:rFonts w:ascii="MS Shell Dlg 2" w:hAnsi="MS Shell Dlg 2" w:cs="B Titr"/>
          <w:sz w:val="24"/>
          <w:szCs w:val="24"/>
          <w:rtl/>
        </w:rPr>
        <w:t xml:space="preserve"> بازسازی شده</w:t>
      </w:r>
    </w:p>
    <w:p w:rsidR="004B62A1" w:rsidRPr="000C3A05" w:rsidRDefault="004B62A1" w:rsidP="00F4091E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B Nazanin"/>
          <w:sz w:val="24"/>
          <w:szCs w:val="24"/>
        </w:rPr>
      </w:pPr>
      <w:r w:rsidRPr="000C3A05">
        <w:rPr>
          <w:rFonts w:ascii="MS Shell Dlg 2" w:hAnsi="MS Shell Dlg 2" w:cs="B Nazanin"/>
          <w:sz w:val="24"/>
          <w:szCs w:val="24"/>
        </w:rPr>
        <w:t> 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متناسب با بازسازی رویدادهای مالی که 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از طریق 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 بازسازی حساب های </w:t>
      </w:r>
      <w:r w:rsidRPr="000C3A05">
        <w:rPr>
          <w:rFonts w:ascii="MS Shell Dlg 2" w:hAnsi="MS Shell Dlg 2" w:cs="B Nazanin"/>
          <w:sz w:val="24"/>
          <w:szCs w:val="24"/>
        </w:rPr>
        <w:t>T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  </w:t>
      </w:r>
      <w:r w:rsidR="00BA248E">
        <w:rPr>
          <w:rFonts w:ascii="MS Shell Dlg 2" w:hAnsi="MS Shell Dlg 2" w:cs="B Nazanin"/>
          <w:sz w:val="24"/>
          <w:szCs w:val="24"/>
          <w:rtl/>
        </w:rPr>
        <w:t>صورت می گیرد .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این دو کار تحلیلی به بهترین وجه به صورت همزمان انجام می شود. در این بخش ما </w:t>
      </w:r>
      <w:r w:rsidR="00AB7479" w:rsidRPr="000C3A05">
        <w:rPr>
          <w:rFonts w:ascii="MS Shell Dlg 2" w:hAnsi="MS Shell Dlg 2" w:cs="B Nazanin"/>
          <w:sz w:val="24"/>
          <w:szCs w:val="24"/>
          <w:rtl/>
        </w:rPr>
        <w:t>بازسازی</w:t>
      </w:r>
      <w:r w:rsidR="003557A8">
        <w:rPr>
          <w:rFonts w:ascii="MS Shell Dlg 2" w:hAnsi="MS Shell Dlg 2" w:cs="B Nazanin"/>
          <w:sz w:val="24"/>
          <w:szCs w:val="24"/>
          <w:rtl/>
        </w:rPr>
        <w:t xml:space="preserve"> را</w:t>
      </w:r>
      <w:r w:rsidR="00AB7479" w:rsidRPr="000C3A05">
        <w:rPr>
          <w:rFonts w:ascii="MS Shell Dlg 2" w:hAnsi="MS Shell Dlg 2" w:cs="B Nazanin"/>
          <w:sz w:val="24"/>
          <w:szCs w:val="24"/>
          <w:rtl/>
        </w:rPr>
        <w:t xml:space="preserve"> </w:t>
      </w:r>
      <w:r w:rsidRPr="000C3A05">
        <w:rPr>
          <w:rFonts w:ascii="MS Shell Dlg 2" w:hAnsi="MS Shell Dlg 2" w:cs="B Nazanin"/>
          <w:sz w:val="24"/>
          <w:szCs w:val="24"/>
          <w:rtl/>
        </w:rPr>
        <w:t>با استفاده ازحساب</w:t>
      </w:r>
      <w:r w:rsidR="00BA248E">
        <w:rPr>
          <w:rFonts w:ascii="MS Shell Dlg 2" w:hAnsi="MS Shell Dlg 2" w:cs="B Nazanin"/>
          <w:sz w:val="24"/>
          <w:szCs w:val="24"/>
          <w:rtl/>
        </w:rPr>
        <w:t>های</w:t>
      </w:r>
      <w:r w:rsidR="00AB7479" w:rsidRPr="000C3A05">
        <w:rPr>
          <w:rFonts w:ascii="MS Shell Dlg 2" w:hAnsi="MS Shell Dlg 2" w:cs="B Nazanin"/>
          <w:sz w:val="24"/>
          <w:szCs w:val="24"/>
          <w:rtl/>
        </w:rPr>
        <w:t xml:space="preserve"> </w:t>
      </w:r>
      <w:r w:rsidR="00AB7479" w:rsidRPr="000C3A05">
        <w:rPr>
          <w:rFonts w:ascii="MS Shell Dlg 2" w:hAnsi="MS Shell Dlg 2" w:cs="B Nazanin"/>
          <w:sz w:val="24"/>
          <w:szCs w:val="24"/>
        </w:rPr>
        <w:t>T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 </w:t>
      </w:r>
      <w:r w:rsidR="003557A8" w:rsidRPr="000C3A05">
        <w:rPr>
          <w:rFonts w:ascii="MS Shell Dlg 2" w:hAnsi="MS Shell Dlg 2" w:cs="B Nazanin"/>
          <w:sz w:val="24"/>
          <w:szCs w:val="24"/>
          <w:rtl/>
        </w:rPr>
        <w:t xml:space="preserve">نشان می دهیم </w:t>
      </w:r>
      <w:r w:rsidR="00826C53">
        <w:rPr>
          <w:rFonts w:ascii="MS Shell Dlg 2" w:hAnsi="MS Shell Dlg 2" w:cs="B Nazanin"/>
          <w:sz w:val="24"/>
          <w:szCs w:val="24"/>
          <w:rtl/>
        </w:rPr>
        <w:t>.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بازسازی </w:t>
      </w:r>
      <w:r w:rsidR="00826C53">
        <w:rPr>
          <w:rFonts w:ascii="MS Shell Dlg 2" w:hAnsi="MS Shell Dlg 2" w:cs="B Nazanin"/>
          <w:sz w:val="24"/>
          <w:szCs w:val="24"/>
          <w:rtl/>
        </w:rPr>
        <w:t>رویدادهای مالی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 در بخش بعدی است. زیر</w:t>
      </w:r>
      <w:r w:rsidR="00BA248E">
        <w:rPr>
          <w:rFonts w:ascii="MS Shell Dlg 2" w:hAnsi="MS Shell Dlg 2" w:cs="B Nazanin"/>
          <w:sz w:val="24"/>
          <w:szCs w:val="24"/>
          <w:rtl/>
        </w:rPr>
        <w:t>ا</w:t>
      </w:r>
      <w:r w:rsidRPr="000C3A05">
        <w:rPr>
          <w:rFonts w:ascii="MS Shell Dlg 2" w:hAnsi="MS Shell Dlg 2" w:cs="B Nazanin"/>
          <w:sz w:val="24"/>
          <w:szCs w:val="24"/>
        </w:rPr>
        <w:t xml:space="preserve"> </w:t>
      </w:r>
      <w:r w:rsidRPr="000C3A05">
        <w:rPr>
          <w:rFonts w:ascii="MS Shell Dlg 2" w:hAnsi="MS Shell Dlg 2" w:cs="B Nazanin"/>
          <w:sz w:val="24"/>
          <w:szCs w:val="24"/>
          <w:rtl/>
        </w:rPr>
        <w:t>حساب</w:t>
      </w:r>
      <w:r w:rsidR="00E41364">
        <w:rPr>
          <w:rFonts w:ascii="MS Shell Dlg 2" w:hAnsi="MS Shell Dlg 2" w:cs="B Nazanin"/>
          <w:sz w:val="24"/>
          <w:szCs w:val="24"/>
          <w:rtl/>
        </w:rPr>
        <w:t xml:space="preserve">های </w:t>
      </w:r>
      <w:r w:rsidR="00E41364">
        <w:rPr>
          <w:rFonts w:ascii="MS Shell Dlg 2" w:hAnsi="MS Shell Dlg 2" w:cs="B Nazanin"/>
          <w:sz w:val="24"/>
          <w:szCs w:val="24"/>
        </w:rPr>
        <w:t>T</w:t>
      </w:r>
      <w:r w:rsidRPr="000C3A05">
        <w:rPr>
          <w:rFonts w:ascii="MS Shell Dlg 2" w:hAnsi="MS Shell Dlg 2" w:cs="B Nazanin"/>
          <w:sz w:val="24"/>
          <w:szCs w:val="24"/>
          <w:rtl/>
        </w:rPr>
        <w:t xml:space="preserve"> نتیجه تجزیه و تحلی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ل </w:t>
      </w:r>
      <w:r w:rsidR="00E41364" w:rsidRPr="000C3A05">
        <w:rPr>
          <w:rFonts w:ascii="MS Shell Dlg 2" w:hAnsi="MS Shell Dlg 2" w:cs="B Nazanin"/>
          <w:sz w:val="24"/>
          <w:szCs w:val="24"/>
          <w:rtl/>
        </w:rPr>
        <w:t xml:space="preserve">نهایی 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ما از </w:t>
      </w:r>
      <w:r w:rsidR="00E41364">
        <w:rPr>
          <w:rFonts w:ascii="MS Shell Dlg 2" w:hAnsi="MS Shell Dlg 2" w:cs="B Nazanin"/>
          <w:sz w:val="24"/>
          <w:szCs w:val="24"/>
          <w:rtl/>
        </w:rPr>
        <w:t>رویدادهای مالی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 (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 ارقام به هزار دلار</w:t>
      </w:r>
      <w:r w:rsidR="00BA248E">
        <w:rPr>
          <w:rFonts w:ascii="MS Shell Dlg 2" w:hAnsi="MS Shell Dlg 2" w:cs="B Nazanin"/>
          <w:sz w:val="24"/>
          <w:szCs w:val="24"/>
        </w:rPr>
        <w:t>(</w:t>
      </w:r>
      <w:r w:rsidR="00BA248E">
        <w:rPr>
          <w:rFonts w:ascii="MS Shell Dlg 2" w:hAnsi="MS Shell Dlg 2" w:cs="B Nazanin"/>
          <w:sz w:val="24"/>
          <w:szCs w:val="24"/>
          <w:rtl/>
        </w:rPr>
        <w:t xml:space="preserve">است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. </w:t>
      </w:r>
      <w:r w:rsidR="00027A13" w:rsidRPr="000C3A05">
        <w:rPr>
          <w:rFonts w:ascii="MS Shell Dlg 2" w:hAnsi="MS Shell Dlg 2" w:cs="B Nazanin"/>
          <w:sz w:val="24"/>
          <w:szCs w:val="24"/>
          <w:rtl/>
        </w:rPr>
        <w:t xml:space="preserve">ما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از یک </w:t>
      </w:r>
      <w:r w:rsidR="00BA248E" w:rsidRPr="000C3A05">
        <w:rPr>
          <w:rFonts w:ascii="MS Shell Dlg 2" w:hAnsi="MS Shell Dlg 2" w:cs="B Nazanin"/>
          <w:sz w:val="24"/>
          <w:szCs w:val="24"/>
          <w:rtl/>
        </w:rPr>
        <w:t xml:space="preserve">حساب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اصلی </w:t>
      </w:r>
      <w:r w:rsidR="00FC64FF" w:rsidRPr="000C3A05">
        <w:rPr>
          <w:rFonts w:ascii="MS Shell Dlg 2" w:hAnsi="MS Shell Dlg 2" w:cs="B Nazanin"/>
          <w:sz w:val="24"/>
          <w:szCs w:val="24"/>
        </w:rPr>
        <w:t>T-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 برای وجوه نقد</w:t>
      </w:r>
      <w:r w:rsidR="00027A13" w:rsidRPr="000C3A05">
        <w:rPr>
          <w:rFonts w:ascii="MS Shell Dlg 2" w:hAnsi="MS Shell Dlg 2" w:cs="B Nazanin"/>
          <w:sz w:val="24"/>
          <w:szCs w:val="24"/>
          <w:rtl/>
        </w:rPr>
        <w:t xml:space="preserve"> و حساب جزئی برای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 </w:t>
      </w:r>
      <w:r w:rsidR="0056162A" w:rsidRPr="000C3A05">
        <w:rPr>
          <w:rFonts w:ascii="MS Shell Dlg 2" w:hAnsi="MS Shell Dlg 2" w:cs="B Nazanin"/>
          <w:sz w:val="24"/>
          <w:szCs w:val="24"/>
          <w:rtl/>
        </w:rPr>
        <w:t>،</w:t>
      </w:r>
      <w:r w:rsidR="006B4BE8" w:rsidRPr="000C3A05">
        <w:rPr>
          <w:rFonts w:ascii="MS Shell Dlg 2" w:hAnsi="MS Shell Dlg 2" w:cs="B Nazanin"/>
          <w:sz w:val="24"/>
          <w:szCs w:val="24"/>
          <w:rtl/>
        </w:rPr>
        <w:t xml:space="preserve">درآمد و هزینه ،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>سرمایه گذاری، تامین مالی</w:t>
      </w:r>
      <w:r w:rsidR="0056162A" w:rsidRPr="000C3A05">
        <w:rPr>
          <w:rFonts w:ascii="MS Shell Dlg 2" w:hAnsi="MS Shell Dlg 2" w:cs="B Nazanin"/>
          <w:sz w:val="24"/>
          <w:szCs w:val="24"/>
          <w:rtl/>
        </w:rPr>
        <w:t xml:space="preserve"> 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و </w:t>
      </w:r>
      <w:r w:rsidR="00F4091E">
        <w:rPr>
          <w:rFonts w:ascii="MS Shell Dlg 2" w:hAnsi="MS Shell Dlg 2" w:cs="B Nazanin"/>
          <w:sz w:val="24"/>
          <w:szCs w:val="24"/>
          <w:rtl/>
        </w:rPr>
        <w:t>رویدادهای مالی</w:t>
      </w:r>
      <w:r w:rsidR="00FC64FF" w:rsidRPr="000C3A05">
        <w:rPr>
          <w:rFonts w:ascii="MS Shell Dlg 2" w:hAnsi="MS Shell Dlg 2" w:cs="B Nazanin"/>
          <w:sz w:val="24"/>
          <w:szCs w:val="24"/>
          <w:rtl/>
        </w:rPr>
        <w:t xml:space="preserve"> غیرنقدی </w:t>
      </w:r>
      <w:r w:rsidR="00027A13" w:rsidRPr="000C3A05">
        <w:rPr>
          <w:rFonts w:ascii="MS Shell Dlg 2" w:hAnsi="MS Shell Dlg 2" w:cs="B Nazanin"/>
          <w:sz w:val="24"/>
          <w:szCs w:val="24"/>
          <w:rtl/>
        </w:rPr>
        <w:t xml:space="preserve">، استفاده می کنیم </w:t>
      </w:r>
      <w:r w:rsidR="00FC64FF" w:rsidRPr="000C3A05">
        <w:rPr>
          <w:rFonts w:ascii="MS Shell Dlg 2" w:hAnsi="MS Shell Dlg 2" w:cs="B Nazanin"/>
          <w:sz w:val="24"/>
          <w:szCs w:val="24"/>
        </w:rPr>
        <w:t>.</w:t>
      </w:r>
    </w:p>
    <w:p w:rsidR="00623FA0" w:rsidRPr="000C3A05" w:rsidRDefault="00EE253F" w:rsidP="000C3A05">
      <w:pPr>
        <w:widowControl w:val="0"/>
        <w:shd w:val="clear" w:color="auto" w:fill="FFFFFF"/>
        <w:autoSpaceDE w:val="0"/>
        <w:autoSpaceDN w:val="0"/>
        <w:bidi w:val="0"/>
        <w:adjustRightInd w:val="0"/>
        <w:spacing w:before="58" w:after="0" w:line="240" w:lineRule="auto"/>
        <w:ind w:left="1363"/>
        <w:rPr>
          <w:rFonts w:ascii="Arial" w:hAnsi="Arial" w:cs="B Nazani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ragraph">
                  <wp:posOffset>244475</wp:posOffset>
                </wp:positionV>
                <wp:extent cx="7315200" cy="657479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0" cy="6574790"/>
                          <a:chOff x="421" y="4566"/>
                          <a:chExt cx="11520" cy="10354"/>
                        </a:xfrm>
                      </wpg:grpSpPr>
                      <wps:wsp>
                        <wps:cNvPr id="2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421" y="7500"/>
                            <a:ext cx="11520" cy="3759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1384E" w:rsidRDefault="00BA4DC2" w:rsidP="00BA4DC2">
                              <w:pPr>
                                <w:rPr>
                                  <w:rtl/>
                                </w:rPr>
                              </w:pPr>
                              <w:r>
                                <w:rPr>
                                  <w:rtl/>
                                </w:rPr>
                                <w:t xml:space="preserve">                                                                  </w:t>
                              </w:r>
                              <w:r>
                                <w:rPr>
                                  <w:rFonts w:hint="eastAsia"/>
                                  <w:rtl/>
                                </w:rPr>
                                <w:t>درآمد</w:t>
                              </w:r>
                              <w:r>
                                <w:rPr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rtl/>
                                </w:rPr>
                                <w:t>و</w:t>
                              </w:r>
                              <w:r>
                                <w:rPr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rtl/>
                                </w:rPr>
                                <w:t>هز</w:t>
                              </w:r>
                              <w:r>
                                <w:rPr>
                                  <w:rtl/>
                                </w:rPr>
                                <w:t>ی</w:t>
                              </w:r>
                              <w:r>
                                <w:rPr>
                                  <w:rFonts w:hint="eastAsia"/>
                                  <w:rtl/>
                                </w:rPr>
                                <w:t>نه</w:t>
                              </w:r>
                              <w:r w:rsidR="00F4091E">
                                <w:rPr>
                                  <w:rtl/>
                                </w:rPr>
                                <w:t>(</w:t>
                              </w:r>
                              <w:r w:rsidR="00F4091E">
                                <w:rPr>
                                  <w:rFonts w:hint="eastAsia"/>
                                  <w:rtl/>
                                </w:rPr>
                                <w:t>عمل</w:t>
                              </w:r>
                              <w:r w:rsidR="00F4091E">
                                <w:rPr>
                                  <w:rtl/>
                                </w:rPr>
                                <w:t>ی</w:t>
                              </w:r>
                              <w:r w:rsidR="00F4091E">
                                <w:rPr>
                                  <w:rFonts w:hint="eastAsia"/>
                                  <w:rtl/>
                                </w:rPr>
                                <w:t>ات</w:t>
                              </w:r>
                              <w:r w:rsidR="00F4091E">
                                <w:rPr>
                                  <w:rtl/>
                                </w:rPr>
                                <w:t>ی)</w:t>
                              </w: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81"/>
                                <w:gridCol w:w="501"/>
                                <w:gridCol w:w="687"/>
                                <w:gridCol w:w="3703"/>
                                <w:gridCol w:w="603"/>
                                <w:gridCol w:w="735"/>
                              </w:tblGrid>
                              <w:tr w:rsidR="00614349" w:rsidTr="00275C93">
                                <w:trPr>
                                  <w:trHeight w:val="1136"/>
                                </w:trPr>
                                <w:tc>
                                  <w:tcPr>
                                    <w:tcW w:w="3281" w:type="dxa"/>
                                    <w:tcBorders>
                                      <w:left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14349" w:rsidRPr="00275C93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  </w:t>
                                    </w: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هزینه استهلاک</w:t>
                                    </w: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614349" w:rsidRPr="00275C93" w:rsidRDefault="00614349" w:rsidP="008D7FF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مالیات بر درآمد معوق 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7C3221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سود</w:t>
                                    </w:r>
                                    <w:r w:rsidR="00614349"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خالص</w:t>
                                    </w:r>
                                    <w:r w:rsidR="00614349"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 w:rsidP="0079023B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استهلاک </w:t>
                                    </w:r>
                                    <w:r w:rsidR="0079023B"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سرقفلی</w:t>
                                    </w: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79023B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افزایش در حساب های </w:t>
                                    </w:r>
                                    <w:r w:rsidR="00614349"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پرداخت</w:t>
                                    </w: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نی</w:t>
                                    </w:r>
                                    <w:r w:rsidR="00614349"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501" w:type="dxa"/>
                                    <w:tcBorders>
                                      <w:left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(j)</w:t>
                                    </w: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(p)</w:t>
                                    </w: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(r)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(k)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(l)</w:t>
                                    </w:r>
                                  </w:p>
                                  <w:p w:rsidR="00614349" w:rsidRPr="00275C93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275C93" w:rsidRDefault="00614349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7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</w:tcBorders>
                                  </w:tcPr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360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20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951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30</w:t>
                                    </w:r>
                                  </w:p>
                                  <w:p w:rsidR="00614349" w:rsidRDefault="00614349" w:rsidP="008D7FF5">
                                    <w:pPr>
                                      <w:jc w:val="center"/>
                                      <w:rPr>
                                        <w:color w:val="4F81B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230</w:t>
                                    </w:r>
                                  </w:p>
                                </w:tc>
                                <w:tc>
                                  <w:tcPr>
                                    <w:tcW w:w="3703" w:type="dxa"/>
                                    <w:tcBorders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14349" w:rsidRPr="00614349" w:rsidRDefault="00275C93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سود غیر عملیاتی فروش </w:t>
                                    </w:r>
                                    <w:r w:rsidR="00614349"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دارایی های ثابت</w:t>
                                    </w:r>
                                    <w:r w:rsidR="00614349"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614349" w:rsidRPr="00614349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614349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حقوق صاحبان سهام در درآمد وابسته </w:t>
                                    </w:r>
                                  </w:p>
                                  <w:p w:rsidR="00614349" w:rsidRPr="00614349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614349" w:rsidRDefault="00614349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افزای</w:t>
                                    </w:r>
                                    <w:r w:rsid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ش حسابهای دریافتنی </w:t>
                                    </w: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14349" w:rsidRPr="00614349" w:rsidRDefault="00614349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افزایش در موجودی</w:t>
                                    </w:r>
                                  </w:p>
                                </w:tc>
                                <w:tc>
                                  <w:tcPr>
                                    <w:tcW w:w="603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14349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(e)</w:t>
                                    </w:r>
                                  </w:p>
                                  <w:p w:rsidR="00614349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14349" w:rsidRPr="00614349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14349" w:rsidRPr="00614349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614349" w:rsidRDefault="00614349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14349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Default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14349" w:rsidRPr="00614349" w:rsidRDefault="00614349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  <w:right w:val="nil"/>
                                    </w:tcBorders>
                                  </w:tcPr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2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50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90</w:t>
                                    </w:r>
                                  </w:p>
                                  <w:p w:rsidR="00614349" w:rsidRPr="00614349" w:rsidRDefault="00614349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614349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303</w:t>
                                    </w:r>
                                  </w:p>
                                </w:tc>
                              </w:tr>
                            </w:tbl>
                            <w:p w:rsidR="006B4BE8" w:rsidRDefault="006B4BE8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304EA4" w:rsidRPr="006B4BE8" w:rsidRDefault="00304EA4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3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1373" y="4566"/>
                            <a:ext cx="9330" cy="248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1384E" w:rsidRDefault="000C3A05" w:rsidP="000C3A05">
                              <w:r>
                                <w:rPr>
                                  <w:rtl/>
                                </w:rPr>
                                <w:t xml:space="preserve">                    </w:t>
                              </w:r>
                              <w:r w:rsidR="00B80E10">
                                <w:rPr>
                                  <w:rtl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tl/>
                                </w:rPr>
                                <w:t xml:space="preserve"> </w:t>
                              </w:r>
                              <w:r w:rsidR="0081384E">
                                <w:rPr>
                                  <w:rFonts w:hint="eastAsia"/>
                                  <w:rtl/>
                                </w:rPr>
                                <w:t>حساب</w:t>
                              </w:r>
                              <w:r>
                                <w:rPr>
                                  <w:rtl/>
                                </w:rPr>
                                <w:t xml:space="preserve"> </w:t>
                              </w:r>
                              <w:r w:rsidR="0081384E">
                                <w:rPr>
                                  <w:rtl/>
                                </w:rPr>
                                <w:t xml:space="preserve"> </w:t>
                              </w:r>
                              <w:r w:rsidR="0081384E">
                                <w:rPr>
                                  <w:rFonts w:hint="eastAsia"/>
                                  <w:rtl/>
                                </w:rPr>
                                <w:t>وج</w:t>
                              </w:r>
                              <w:r w:rsidR="00F4091E">
                                <w:rPr>
                                  <w:rFonts w:hint="eastAsia"/>
                                  <w:rtl/>
                                </w:rPr>
                                <w:t>و</w:t>
                              </w:r>
                              <w:r w:rsidR="0081384E">
                                <w:rPr>
                                  <w:rFonts w:hint="eastAsia"/>
                                  <w:rtl/>
                                </w:rPr>
                                <w:t>ه</w:t>
                              </w:r>
                              <w:r w:rsidR="0081384E">
                                <w:rPr>
                                  <w:rtl/>
                                </w:rPr>
                                <w:t xml:space="preserve"> </w:t>
                              </w:r>
                              <w:r w:rsidR="0081384E">
                                <w:rPr>
                                  <w:rFonts w:hint="eastAsia"/>
                                  <w:rtl/>
                                </w:rPr>
                                <w:t>نقد</w:t>
                              </w: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82"/>
                                <w:gridCol w:w="3686"/>
                              </w:tblGrid>
                              <w:tr w:rsidR="0081384E" w:rsidTr="00B80E10">
                                <w:trPr>
                                  <w:trHeight w:val="1143"/>
                                </w:trPr>
                                <w:tc>
                                  <w:tcPr>
                                    <w:tcW w:w="3182" w:type="dxa"/>
                                    <w:tcBorders>
                                      <w:left w:val="nil"/>
                                      <w:bottom w:val="nil"/>
                                    </w:tcBorders>
                                  </w:tcPr>
                                  <w:p w:rsidR="0081384E" w:rsidRDefault="0081384E" w:rsidP="00304EA4">
                                    <w:pPr>
                                      <w:jc w:val="center"/>
                                      <w:rPr>
                                        <w:color w:val="4F81B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81384E" w:rsidRPr="000C3A05" w:rsidRDefault="0081384E" w:rsidP="00304EA4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B80E10">
                                      <w:rPr>
                                        <w:rFonts w:hint="eastAsia"/>
                                        <w:color w:val="000000" w:themeColor="text1"/>
                                        <w:rtl/>
                                      </w:rPr>
                                      <w:t>اول</w:t>
                                    </w:r>
                                    <w:r w:rsidRPr="00B80E10">
                                      <w:rPr>
                                        <w:color w:val="000000" w:themeColor="text1"/>
                                        <w:rtl/>
                                      </w:rPr>
                                      <w:t xml:space="preserve"> </w:t>
                                    </w:r>
                                    <w:r w:rsidRPr="00B80E10">
                                      <w:rPr>
                                        <w:rFonts w:hint="eastAsia"/>
                                        <w:color w:val="000000" w:themeColor="text1"/>
                                        <w:rtl/>
                                      </w:rPr>
                                      <w:t>دوره</w:t>
                                    </w:r>
                                    <w:r w:rsidRPr="00B80E10">
                                      <w:rPr>
                                        <w:color w:val="000000" w:themeColor="text1"/>
                                        <w:rtl/>
                                      </w:rPr>
                                      <w:t xml:space="preserve">           240</w:t>
                                    </w:r>
                                  </w:p>
                                </w:tc>
                                <w:tc>
                                  <w:tcPr>
                                    <w:tcW w:w="3686" w:type="dxa"/>
                                    <w:tcBorders>
                                      <w:bottom w:val="nil"/>
                                      <w:right w:val="nil"/>
                                    </w:tcBorders>
                                  </w:tcPr>
                                  <w:p w:rsidR="0081384E" w:rsidRDefault="0081384E" w:rsidP="00304EA4">
                                    <w:pPr>
                                      <w:jc w:val="center"/>
                                      <w:rPr>
                                        <w:color w:val="4F81B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1384E" w:rsidRDefault="0081384E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81384E" w:rsidRPr="006B4BE8" w:rsidRDefault="0081384E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  <wps:wsp>
                        <wps:cNvPr id="4" name="Rectangle 396"/>
                        <wps:cNvSpPr>
                          <a:spLocks noChangeArrowheads="1"/>
                        </wps:cNvSpPr>
                        <wps:spPr bwMode="auto">
                          <a:xfrm flipH="1">
                            <a:off x="421" y="11553"/>
                            <a:ext cx="11520" cy="336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50800"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4280" w:rsidRDefault="00BC354F" w:rsidP="00BC354F">
                              <w:pPr>
                                <w:rPr>
                                  <w:rtl/>
                                </w:rPr>
                              </w:pPr>
                              <w:r>
                                <w:rPr>
                                  <w:rtl/>
                                </w:rPr>
                                <w:t xml:space="preserve">                                       </w:t>
                              </w:r>
                              <w:r w:rsidR="00B80E10">
                                <w:rPr>
                                  <w:rtl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tl/>
                                </w:rPr>
                                <w:t xml:space="preserve">     </w:t>
                              </w:r>
                              <w:r w:rsidR="00C11DC7">
                                <w:rPr>
                                  <w:rFonts w:hint="eastAsia"/>
                                  <w:rtl/>
                                </w:rPr>
                                <w:t>سرما</w:t>
                              </w:r>
                              <w:r w:rsidR="00C11DC7">
                                <w:rPr>
                                  <w:rtl/>
                                </w:rPr>
                                <w:t>ی</w:t>
                              </w:r>
                              <w:r w:rsidR="00C11DC7">
                                <w:rPr>
                                  <w:rFonts w:hint="eastAsia"/>
                                  <w:rtl/>
                                </w:rPr>
                                <w:t>ه</w:t>
                              </w:r>
                              <w:r w:rsidR="00C11DC7">
                                <w:rPr>
                                  <w:rtl/>
                                </w:rPr>
                                <w:t xml:space="preserve"> </w:t>
                              </w:r>
                              <w:r w:rsidR="00C11DC7">
                                <w:rPr>
                                  <w:rFonts w:hint="eastAsia"/>
                                  <w:rtl/>
                                </w:rPr>
                                <w:t>گذار</w:t>
                              </w:r>
                              <w:r w:rsidR="00C11DC7">
                                <w:rPr>
                                  <w:rtl/>
                                </w:rPr>
                                <w:t>ی</w:t>
                              </w: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246"/>
                                <w:gridCol w:w="496"/>
                                <w:gridCol w:w="638"/>
                                <w:gridCol w:w="3706"/>
                                <w:gridCol w:w="597"/>
                                <w:gridCol w:w="727"/>
                              </w:tblGrid>
                              <w:tr w:rsidR="00BC354F" w:rsidTr="00B80E10">
                                <w:trPr>
                                  <w:trHeight w:val="677"/>
                                </w:trPr>
                                <w:tc>
                                  <w:tcPr>
                                    <w:tcW w:w="3246" w:type="dxa"/>
                                    <w:tcBorders>
                                      <w:left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F4280" w:rsidRPr="00275C93" w:rsidRDefault="006F4280" w:rsidP="00BC354F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  </w:t>
                                    </w:r>
                                    <w:r w:rsidR="00BC354F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فروش داراییهای ثابت</w:t>
                                    </w: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p>
                                  <w:p w:rsidR="006F4280" w:rsidRPr="00275C93" w:rsidRDefault="006F4280" w:rsidP="008D7FF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F4280" w:rsidRPr="00275C93" w:rsidRDefault="006F4280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275C93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496" w:type="dxa"/>
                                    <w:tcBorders>
                                      <w:left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F4280" w:rsidRDefault="006F4280" w:rsidP="00BC354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="00BC354F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  <w:r w:rsidRPr="00275C93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262EA8" w:rsidRPr="00275C93" w:rsidRDefault="00262EA8" w:rsidP="00262EA8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6F4280" w:rsidRPr="00275C93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Pr="00275C93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Pr="00275C93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Pr="00275C93" w:rsidRDefault="006F4280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38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</w:tcBorders>
                                  </w:tcPr>
                                  <w:p w:rsidR="006F4280" w:rsidRDefault="00BC354F" w:rsidP="00262EA8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18</w:t>
                                    </w:r>
                                  </w:p>
                                  <w:p w:rsidR="00262EA8" w:rsidRPr="00614349" w:rsidRDefault="00262EA8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 w:rsidP="008D7FF5">
                                    <w:pPr>
                                      <w:jc w:val="center"/>
                                      <w:rPr>
                                        <w:color w:val="4F81B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06" w:type="dxa"/>
                                    <w:tcBorders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F4280" w:rsidRPr="00614349" w:rsidRDefault="00BC354F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خرید دارایهای ثابت</w:t>
                                    </w:r>
                                  </w:p>
                                  <w:p w:rsidR="006F4280" w:rsidRPr="00614349" w:rsidRDefault="006F4280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F4280" w:rsidRPr="00614349" w:rsidRDefault="00BC354F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r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خرید سرقفلی</w:t>
                                    </w:r>
                                  </w:p>
                                  <w:p w:rsidR="006F4280" w:rsidRPr="00614349" w:rsidRDefault="006F4280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F4280" w:rsidRPr="00614349" w:rsidRDefault="006F4280" w:rsidP="00614349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>افزای</w:t>
                                    </w:r>
                                    <w:r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ش حسابهای دریافتنی </w:t>
                                    </w:r>
                                    <w:r w:rsidRPr="00614349"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</w:t>
                                    </w:r>
                                  </w:p>
                                  <w:p w:rsidR="006F4280" w:rsidRPr="00614349" w:rsidRDefault="006F4280" w:rsidP="008D7FF5">
                                    <w:pPr>
                                      <w:jc w:val="center"/>
                                      <w:rPr>
                                        <w:rFonts w:ascii="MS Shell Dlg 2" w:hAnsi="MS Shell Dlg 2" w:cs="MS Shell Dlg 2"/>
                                        <w:color w:val="000000" w:themeColor="text1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  <w:p w:rsidR="006F4280" w:rsidRPr="00614349" w:rsidRDefault="006F4280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97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</w:tcPr>
                                  <w:p w:rsidR="006F4280" w:rsidRDefault="006F4280" w:rsidP="00BC354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="00BC354F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F4280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 w:rsidP="00BC354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="00BC354F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F4280" w:rsidRPr="00614349" w:rsidRDefault="006F4280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 w:rsidP="00BC354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="00BC354F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i</w:t>
                                    </w:r>
                                    <w:r w:rsidRPr="00614349"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  <w:p w:rsidR="006F4280" w:rsidRPr="00614349" w:rsidRDefault="006F4280" w:rsidP="00614349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Default="006F4280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  <w:p w:rsidR="006F4280" w:rsidRPr="00614349" w:rsidRDefault="006F4280" w:rsidP="00614349">
                                    <w:pP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tcBorders>
                                      <w:left w:val="single" w:sz="4" w:space="0" w:color="FFFFFF" w:themeColor="background1"/>
                                      <w:bottom w:val="nil"/>
                                      <w:right w:val="nil"/>
                                    </w:tcBorders>
                                  </w:tcPr>
                                  <w:p w:rsidR="006F4280" w:rsidRPr="00614349" w:rsidRDefault="00BC354F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450</w:t>
                                    </w:r>
                                  </w:p>
                                  <w:p w:rsidR="006F4280" w:rsidRPr="00614349" w:rsidRDefault="00BC354F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60</w:t>
                                    </w:r>
                                  </w:p>
                                  <w:p w:rsidR="006F4280" w:rsidRPr="00614349" w:rsidRDefault="00BC354F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،</w:t>
                                    </w:r>
                                    <w:r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  <w:t>524</w:t>
                                    </w:r>
                                  </w:p>
                                  <w:p w:rsidR="006F4280" w:rsidRPr="00614349" w:rsidRDefault="006F4280" w:rsidP="008D7FF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F4280" w:rsidRDefault="006F4280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Pr="006B4BE8" w:rsidRDefault="006F4280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vert="horz" wrap="square" lIns="274320" tIns="274320" rIns="274320" bIns="2743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0.95pt;margin-top:19.25pt;width:8in;height:517.7pt;z-index:251662336" coordorigin="421,4566" coordsize="11520,10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">
                <v:rect id="Rectangle 396" o:spid="_x0000_s1027" style="position:absolute;left:421;top:7500;width:11520;height:37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KBxMMA&#10;AADaAAAADwAAAGRycy9kb3ducmV2LnhtbESPQWvCQBSE7wX/w/IEb81GK1VSVxGLIAiFJqa9PrKv&#10;STD7NmTXJP77bqHgcZiZb5jNbjSN6KlztWUF8ygGQVxYXXOp4JIdn9cgnEfW2FgmBXdysNtOnjaY&#10;aDvwJ/WpL0WAsEtQQeV9m0jpiooMusi2xMH7sZ1BH2RXSt3hEOCmkYs4fpUGaw4LFbZ0qKi4pjej&#10;4P17+ZJneZrh6Zh+XW5+hR/urNRsOu7fQHga/SP83z5pBQv4uxJu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KBxMMAAADaAAAADwAAAAAAAAAAAAAAAACYAgAAZHJzL2Rv&#10;d25yZXYueG1sUEsFBgAAAAAEAAQA9QAAAIgDAAAAAA==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81384E" w:rsidRDefault="00BA4DC2" w:rsidP="00BA4DC2">
                        <w:pPr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t xml:space="preserve">                                                                  </w:t>
                        </w:r>
                        <w:r>
                          <w:rPr>
                            <w:rFonts w:hint="eastAsia"/>
                            <w:rtl/>
                          </w:rPr>
                          <w:t>درآمد</w:t>
                        </w:r>
                        <w:r>
                          <w:rPr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rtl/>
                          </w:rPr>
                          <w:t>و</w:t>
                        </w:r>
                        <w:r>
                          <w:rPr>
                            <w:rtl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rtl/>
                          </w:rPr>
                          <w:t>هز</w:t>
                        </w:r>
                        <w:r>
                          <w:rPr>
                            <w:rtl/>
                          </w:rPr>
                          <w:t>ی</w:t>
                        </w:r>
                        <w:r>
                          <w:rPr>
                            <w:rFonts w:hint="eastAsia"/>
                            <w:rtl/>
                          </w:rPr>
                          <w:t>نه</w:t>
                        </w:r>
                        <w:r w:rsidR="00F4091E">
                          <w:rPr>
                            <w:rtl/>
                          </w:rPr>
                          <w:t>(</w:t>
                        </w:r>
                        <w:r w:rsidR="00F4091E">
                          <w:rPr>
                            <w:rFonts w:hint="eastAsia"/>
                            <w:rtl/>
                          </w:rPr>
                          <w:t>عمل</w:t>
                        </w:r>
                        <w:r w:rsidR="00F4091E">
                          <w:rPr>
                            <w:rtl/>
                          </w:rPr>
                          <w:t>ی</w:t>
                        </w:r>
                        <w:r w:rsidR="00F4091E">
                          <w:rPr>
                            <w:rFonts w:hint="eastAsia"/>
                            <w:rtl/>
                          </w:rPr>
                          <w:t>ات</w:t>
                        </w:r>
                        <w:r w:rsidR="00F4091E">
                          <w:rPr>
                            <w:rtl/>
                          </w:rPr>
                          <w:t>ی)</w:t>
                        </w: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281"/>
                          <w:gridCol w:w="501"/>
                          <w:gridCol w:w="687"/>
                          <w:gridCol w:w="3703"/>
                          <w:gridCol w:w="603"/>
                          <w:gridCol w:w="735"/>
                        </w:tblGrid>
                        <w:tr w:rsidR="00614349" w:rsidTr="00275C93">
                          <w:trPr>
                            <w:trHeight w:val="1136"/>
                          </w:trPr>
                          <w:tc>
                            <w:tcPr>
                              <w:tcW w:w="3281" w:type="dxa"/>
                              <w:tcBorders>
                                <w:left w:val="nil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14349" w:rsidRPr="00275C93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>  </w:t>
                              </w: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هزینه استهلاک</w:t>
                              </w: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614349" w:rsidRPr="00275C93" w:rsidRDefault="00614349" w:rsidP="008D7FF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275C93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مالیات بر درآمد معوق </w:t>
                              </w:r>
                            </w:p>
                            <w:p w:rsidR="00614349" w:rsidRPr="00275C93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275C93" w:rsidRDefault="007C3221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سود</w:t>
                              </w:r>
                              <w:r w:rsidR="00614349"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خالص</w:t>
                              </w:r>
                              <w:r w:rsidR="00614349"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614349" w:rsidRPr="00275C93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275C93" w:rsidRDefault="00614349" w:rsidP="0079023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استهلاک </w:t>
                              </w:r>
                              <w:r w:rsidR="0079023B"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سرقفلی</w:t>
                              </w: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614349" w:rsidRPr="00275C93" w:rsidRDefault="00614349" w:rsidP="00614349">
                              <w:pPr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275C93" w:rsidRDefault="0079023B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افزایش در حساب های </w:t>
                              </w:r>
                              <w:r w:rsidR="00614349"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پرداخت</w:t>
                              </w: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نی</w:t>
                              </w:r>
                              <w:r w:rsidR="00614349"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left w:val="nil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(j)</w:t>
                              </w: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(p)</w:t>
                              </w: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(r)</w:t>
                              </w:r>
                            </w:p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(k)</w:t>
                              </w:r>
                            </w:p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(l)</w:t>
                              </w:r>
                            </w:p>
                            <w:p w:rsidR="00614349" w:rsidRPr="00275C93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275C93" w:rsidRDefault="00614349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87" w:type="dxa"/>
                              <w:tcBorders>
                                <w:left w:val="single" w:sz="4" w:space="0" w:color="FFFFFF" w:themeColor="background1"/>
                                <w:bottom w:val="nil"/>
                              </w:tcBorders>
                            </w:tcPr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360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20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951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30</w:t>
                              </w:r>
                            </w:p>
                            <w:p w:rsidR="00614349" w:rsidRDefault="00614349" w:rsidP="008D7FF5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230</w:t>
                              </w:r>
                            </w:p>
                          </w:tc>
                          <w:tc>
                            <w:tcPr>
                              <w:tcW w:w="3703" w:type="dxa"/>
                              <w:tcBorders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14349" w:rsidRPr="00614349" w:rsidRDefault="00275C93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سود غیر عملیاتی فروش </w:t>
                              </w:r>
                              <w:r w:rsidR="00614349"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دارایی های ثابت</w:t>
                              </w:r>
                              <w:r w:rsidR="00614349"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614349" w:rsidRPr="00614349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614349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حقوق صاحبان سهام در درآمد وابسته </w:t>
                              </w:r>
                            </w:p>
                            <w:p w:rsidR="00614349" w:rsidRPr="00614349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614349" w:rsidRDefault="00614349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افزای</w:t>
                              </w:r>
                              <w:r w:rsid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ش حسابهای دریافتنی </w:t>
                              </w: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14349" w:rsidRPr="00614349" w:rsidRDefault="00614349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افزایش در موجودی</w:t>
                              </w:r>
                            </w:p>
                          </w:tc>
                          <w:tc>
                            <w:tcPr>
                              <w:tcW w:w="603" w:type="dxa"/>
                              <w:tcBorders>
                                <w:left w:val="single" w:sz="4" w:space="0" w:color="FFFFFF" w:themeColor="background1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14349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(e)</w:t>
                              </w:r>
                            </w:p>
                            <w:p w:rsidR="00614349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14349" w:rsidRPr="00614349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14349" w:rsidRPr="00614349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614349" w:rsidRDefault="00614349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b</w:t>
                              </w: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14349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Default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14349" w:rsidRPr="00614349" w:rsidRDefault="00614349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35" w:type="dxa"/>
                              <w:tcBorders>
                                <w:left w:val="single" w:sz="4" w:space="0" w:color="FFFFFF" w:themeColor="background1"/>
                                <w:bottom w:val="nil"/>
                                <w:right w:val="nil"/>
                              </w:tcBorders>
                            </w:tcPr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2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50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90</w:t>
                              </w:r>
                            </w:p>
                            <w:p w:rsidR="00614349" w:rsidRPr="00614349" w:rsidRDefault="00614349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614349"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303</w:t>
                              </w:r>
                            </w:p>
                          </w:tc>
                        </w:tr>
                      </w:tbl>
                      <w:p w:rsidR="006B4BE8" w:rsidRDefault="006B4BE8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  <w:p w:rsidR="00304EA4" w:rsidRPr="006B4BE8" w:rsidRDefault="00304EA4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rect>
                <v:rect id="Rectangle 396" o:spid="_x0000_s1028" style="position:absolute;left:1373;top:4566;width:9330;height:248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4kX8IA&#10;AADaAAAADwAAAGRycy9kb3ducmV2LnhtbESPQYvCMBSE78L+h/AW9qbpqrhLNYoogiAItlWvj+bZ&#10;lm1eShO1+++NIHgcZuYbZrboTC1u1LrKsoLvQQSCOLe64kJBlm76vyCcR9ZYWyYF/+RgMf/ozTDW&#10;9s4HuiW+EAHCLkYFpfdNLKXLSzLoBrYhDt7FtgZ9kG0hdYv3ADe1HEbRRBqsOCyU2NCqpPwvuRoF&#10;6/N4dEyPSYrbTXLKrv4H926n1Ndnt5yC8NT5d/jV3moFI3heC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TiRfwgAAANo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81384E" w:rsidRDefault="000C3A05" w:rsidP="000C3A05">
                        <w:r>
                          <w:rPr>
                            <w:rtl/>
                          </w:rPr>
                          <w:t xml:space="preserve">                    </w:t>
                        </w:r>
                        <w:r w:rsidR="00B80E10">
                          <w:rPr>
                            <w:rtl/>
                          </w:rPr>
                          <w:t xml:space="preserve">                     </w:t>
                        </w:r>
                        <w:r>
                          <w:rPr>
                            <w:rtl/>
                          </w:rPr>
                          <w:t xml:space="preserve"> </w:t>
                        </w:r>
                        <w:r w:rsidR="0081384E">
                          <w:rPr>
                            <w:rFonts w:hint="eastAsia"/>
                            <w:rtl/>
                          </w:rPr>
                          <w:t>حساب</w:t>
                        </w:r>
                        <w:r>
                          <w:rPr>
                            <w:rtl/>
                          </w:rPr>
                          <w:t xml:space="preserve"> </w:t>
                        </w:r>
                        <w:r w:rsidR="0081384E">
                          <w:rPr>
                            <w:rtl/>
                          </w:rPr>
                          <w:t xml:space="preserve"> </w:t>
                        </w:r>
                        <w:r w:rsidR="0081384E">
                          <w:rPr>
                            <w:rFonts w:hint="eastAsia"/>
                            <w:rtl/>
                          </w:rPr>
                          <w:t>وج</w:t>
                        </w:r>
                        <w:r w:rsidR="00F4091E">
                          <w:rPr>
                            <w:rFonts w:hint="eastAsia"/>
                            <w:rtl/>
                          </w:rPr>
                          <w:t>و</w:t>
                        </w:r>
                        <w:r w:rsidR="0081384E">
                          <w:rPr>
                            <w:rFonts w:hint="eastAsia"/>
                            <w:rtl/>
                          </w:rPr>
                          <w:t>ه</w:t>
                        </w:r>
                        <w:r w:rsidR="0081384E">
                          <w:rPr>
                            <w:rtl/>
                          </w:rPr>
                          <w:t xml:space="preserve"> </w:t>
                        </w:r>
                        <w:r w:rsidR="0081384E">
                          <w:rPr>
                            <w:rFonts w:hint="eastAsia"/>
                            <w:rtl/>
                          </w:rPr>
                          <w:t>نقد</w:t>
                        </w: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182"/>
                          <w:gridCol w:w="3686"/>
                        </w:tblGrid>
                        <w:tr w:rsidR="0081384E" w:rsidTr="00B80E10">
                          <w:trPr>
                            <w:trHeight w:val="1143"/>
                          </w:trPr>
                          <w:tc>
                            <w:tcPr>
                              <w:tcW w:w="3182" w:type="dxa"/>
                              <w:tcBorders>
                                <w:left w:val="nil"/>
                                <w:bottom w:val="nil"/>
                              </w:tcBorders>
                            </w:tcPr>
                            <w:p w:rsidR="0081384E" w:rsidRDefault="0081384E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81384E" w:rsidRPr="000C3A05" w:rsidRDefault="0081384E" w:rsidP="00304EA4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B80E10">
                                <w:rPr>
                                  <w:rFonts w:hint="eastAsia"/>
                                  <w:color w:val="000000" w:themeColor="text1"/>
                                  <w:rtl/>
                                </w:rPr>
                                <w:t>اول</w:t>
                              </w:r>
                              <w:r w:rsidRPr="00B80E10">
                                <w:rPr>
                                  <w:color w:val="000000" w:themeColor="text1"/>
                                  <w:rtl/>
                                </w:rPr>
                                <w:t xml:space="preserve"> </w:t>
                              </w:r>
                              <w:r w:rsidRPr="00B80E10">
                                <w:rPr>
                                  <w:rFonts w:hint="eastAsia"/>
                                  <w:color w:val="000000" w:themeColor="text1"/>
                                  <w:rtl/>
                                </w:rPr>
                                <w:t>دوره</w:t>
                              </w:r>
                              <w:r w:rsidRPr="00B80E10">
                                <w:rPr>
                                  <w:color w:val="000000" w:themeColor="text1"/>
                                  <w:rtl/>
                                </w:rPr>
                                <w:t xml:space="preserve">           240</w:t>
                              </w:r>
                            </w:p>
                          </w:tc>
                          <w:tc>
                            <w:tcPr>
                              <w:tcW w:w="3686" w:type="dxa"/>
                              <w:tcBorders>
                                <w:bottom w:val="nil"/>
                                <w:right w:val="nil"/>
                              </w:tcBorders>
                            </w:tcPr>
                            <w:p w:rsidR="0081384E" w:rsidRDefault="0081384E" w:rsidP="00304EA4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81384E" w:rsidRDefault="0081384E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  <w:p w:rsidR="0081384E" w:rsidRPr="006B4BE8" w:rsidRDefault="0081384E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rect>
                <v:rect id="Rectangle 396" o:spid="_x0000_s1029" style="position:absolute;left:421;top:11553;width:11520;height:336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e8K8IA&#10;AADaAAAADwAAAGRycy9kb3ducmV2LnhtbESPQYvCMBSE78L+h/AWvGm6Ku5SjSKKIAgLtlWvj+bZ&#10;lm1eShO1/vuNIHgcZuYbZr7sTC1u1LrKsoKvYQSCOLe64kJBlm4HPyCcR9ZYWyYFD3KwXHz05hhr&#10;e+cD3RJfiABhF6OC0vsmltLlJRl0Q9sQB+9iW4M+yLaQusV7gJtajqJoKg1WHBZKbGhdUv6XXI2C&#10;zXkyPqbHJMXdNjllV/+Nv26vVP+zW81AeOr8O/xq77SCCTyvhBs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7wrwgAAANoAAAAPAAAAAAAAAAAAAAAAAJgCAABkcnMvZG93&#10;bnJldi54bWxQSwUGAAAAAAQABAD1AAAAhwMAAAAA&#10;" fillcolor="white [3201]" strokecolor="white [3212]" strokeweight="1pt">
                  <v:stroke dashstyle="dash"/>
                  <v:shadow color="#868686"/>
                  <v:textbox inset="21.6pt,21.6pt,21.6pt,21.6pt">
                    <w:txbxContent>
                      <w:p w:rsidR="006F4280" w:rsidRDefault="00BC354F" w:rsidP="00BC354F">
                        <w:pPr>
                          <w:rPr>
                            <w:rtl/>
                          </w:rPr>
                        </w:pPr>
                        <w:r>
                          <w:rPr>
                            <w:rtl/>
                          </w:rPr>
                          <w:t xml:space="preserve">                                       </w:t>
                        </w:r>
                        <w:r w:rsidR="00B80E10">
                          <w:rPr>
                            <w:rtl/>
                          </w:rPr>
                          <w:t xml:space="preserve">                    </w:t>
                        </w:r>
                        <w:r>
                          <w:rPr>
                            <w:rtl/>
                          </w:rPr>
                          <w:t xml:space="preserve">     </w:t>
                        </w:r>
                        <w:r w:rsidR="00C11DC7">
                          <w:rPr>
                            <w:rFonts w:hint="eastAsia"/>
                            <w:rtl/>
                          </w:rPr>
                          <w:t>سرما</w:t>
                        </w:r>
                        <w:r w:rsidR="00C11DC7">
                          <w:rPr>
                            <w:rtl/>
                          </w:rPr>
                          <w:t>ی</w:t>
                        </w:r>
                        <w:r w:rsidR="00C11DC7">
                          <w:rPr>
                            <w:rFonts w:hint="eastAsia"/>
                            <w:rtl/>
                          </w:rPr>
                          <w:t>ه</w:t>
                        </w:r>
                        <w:r w:rsidR="00C11DC7">
                          <w:rPr>
                            <w:rtl/>
                          </w:rPr>
                          <w:t xml:space="preserve"> </w:t>
                        </w:r>
                        <w:r w:rsidR="00C11DC7">
                          <w:rPr>
                            <w:rFonts w:hint="eastAsia"/>
                            <w:rtl/>
                          </w:rPr>
                          <w:t>گذار</w:t>
                        </w:r>
                        <w:r w:rsidR="00C11DC7">
                          <w:rPr>
                            <w:rtl/>
                          </w:rPr>
                          <w:t>ی</w:t>
                        </w: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246"/>
                          <w:gridCol w:w="496"/>
                          <w:gridCol w:w="638"/>
                          <w:gridCol w:w="3706"/>
                          <w:gridCol w:w="597"/>
                          <w:gridCol w:w="727"/>
                        </w:tblGrid>
                        <w:tr w:rsidR="00BC354F" w:rsidTr="00B80E10">
                          <w:trPr>
                            <w:trHeight w:val="677"/>
                          </w:trPr>
                          <w:tc>
                            <w:tcPr>
                              <w:tcW w:w="3246" w:type="dxa"/>
                              <w:tcBorders>
                                <w:left w:val="nil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F4280" w:rsidRPr="00275C93" w:rsidRDefault="006F4280" w:rsidP="00BC354F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>  </w:t>
                              </w:r>
                              <w:r w:rsidR="00BC354F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فروش داراییهای ثابت</w:t>
                              </w: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6F4280" w:rsidRPr="00275C93" w:rsidRDefault="006F4280" w:rsidP="008D7FF5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F4280" w:rsidRPr="00275C93" w:rsidRDefault="006F4280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275C93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496" w:type="dxa"/>
                              <w:tcBorders>
                                <w:left w:val="nil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F4280" w:rsidRDefault="006F4280" w:rsidP="00BC354F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BC354F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e</w:t>
                              </w:r>
                              <w:r w:rsidRPr="00275C93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262EA8" w:rsidRPr="00275C93" w:rsidRDefault="00262EA8" w:rsidP="00262EA8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  <w:p w:rsidR="006F4280" w:rsidRPr="00275C93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Pr="00275C93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Pr="00275C93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Pr="00275C93" w:rsidRDefault="006F4280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638" w:type="dxa"/>
                              <w:tcBorders>
                                <w:left w:val="single" w:sz="4" w:space="0" w:color="FFFFFF" w:themeColor="background1"/>
                                <w:bottom w:val="nil"/>
                              </w:tcBorders>
                            </w:tcPr>
                            <w:p w:rsidR="006F4280" w:rsidRDefault="00BC354F" w:rsidP="00262EA8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18</w:t>
                              </w:r>
                            </w:p>
                            <w:p w:rsidR="00262EA8" w:rsidRPr="00614349" w:rsidRDefault="00262EA8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 w:rsidP="008D7FF5">
                              <w:pPr>
                                <w:jc w:val="center"/>
                                <w:rPr>
                                  <w:color w:val="4F81B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3706" w:type="dxa"/>
                              <w:tcBorders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F4280" w:rsidRPr="00614349" w:rsidRDefault="00BC354F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خرید دارایهای ثابت</w:t>
                              </w:r>
                            </w:p>
                            <w:p w:rsidR="006F4280" w:rsidRPr="00614349" w:rsidRDefault="006F4280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F4280" w:rsidRPr="00614349" w:rsidRDefault="00BC354F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  <w:r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خرید سرقفلی</w:t>
                              </w:r>
                            </w:p>
                            <w:p w:rsidR="006F4280" w:rsidRPr="00614349" w:rsidRDefault="006F4280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F4280" w:rsidRPr="00614349" w:rsidRDefault="006F4280" w:rsidP="00614349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>افزای</w:t>
                              </w:r>
                              <w:r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ش حسابهای دریافتنی </w:t>
                              </w:r>
                              <w:r w:rsidRPr="00614349"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</w:p>
                            <w:p w:rsidR="006F4280" w:rsidRPr="00614349" w:rsidRDefault="006F4280" w:rsidP="008D7FF5">
                              <w:pPr>
                                <w:jc w:val="center"/>
                                <w:rPr>
                                  <w:rFonts w:ascii="MS Shell Dlg 2" w:hAnsi="MS Shell Dlg 2" w:cs="MS Shell Dlg 2"/>
                                  <w:color w:val="000000" w:themeColor="text1"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  <w:p w:rsidR="006F4280" w:rsidRPr="00614349" w:rsidRDefault="006F4280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97" w:type="dxa"/>
                              <w:tcBorders>
                                <w:left w:val="single" w:sz="4" w:space="0" w:color="FFFFFF" w:themeColor="background1"/>
                                <w:bottom w:val="nil"/>
                                <w:right w:val="single" w:sz="4" w:space="0" w:color="FFFFFF" w:themeColor="background1"/>
                              </w:tcBorders>
                            </w:tcPr>
                            <w:p w:rsidR="006F4280" w:rsidRDefault="006F4280" w:rsidP="00BC354F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BC354F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F4280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 w:rsidP="00BC354F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BC354F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F4280" w:rsidRPr="00614349" w:rsidRDefault="006F4280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 w:rsidP="00BC354F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BC354F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614349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6F4280" w:rsidRPr="00614349" w:rsidRDefault="006F4280" w:rsidP="00614349">
                              <w:pPr>
                                <w:bidi w:val="0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Default="006F4280">
                              <w:pPr>
                                <w:bidi w:val="0"/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:rsidR="006F4280" w:rsidRPr="00614349" w:rsidRDefault="006F4280" w:rsidP="00614349">
                              <w:pP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tcBorders>
                                <w:left w:val="single" w:sz="4" w:space="0" w:color="FFFFFF" w:themeColor="background1"/>
                                <w:bottom w:val="nil"/>
                                <w:right w:val="nil"/>
                              </w:tcBorders>
                            </w:tcPr>
                            <w:p w:rsidR="006F4280" w:rsidRPr="00614349" w:rsidRDefault="00BC354F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450</w:t>
                              </w:r>
                            </w:p>
                            <w:p w:rsidR="006F4280" w:rsidRPr="00614349" w:rsidRDefault="00BC354F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60</w:t>
                              </w:r>
                            </w:p>
                            <w:p w:rsidR="006F4280" w:rsidRPr="00614349" w:rsidRDefault="00BC354F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،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  <w:t>524</w:t>
                              </w:r>
                            </w:p>
                            <w:p w:rsidR="006F4280" w:rsidRPr="00614349" w:rsidRDefault="006F4280" w:rsidP="008D7FF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6F4280" w:rsidRDefault="006F4280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  <w:p w:rsidR="006F4280" w:rsidRPr="006B4BE8" w:rsidRDefault="006F4280" w:rsidP="00304EA4">
                        <w:pPr>
                          <w:jc w:val="center"/>
                          <w:rPr>
                            <w:color w:val="4F81BD"/>
                            <w:sz w:val="20"/>
                            <w:szCs w:val="20"/>
                            <w:rtl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623FA0" w:rsidRPr="000C3A05" w:rsidSect="000C3A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183" w:bottom="284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3F6" w:rsidRDefault="00CB63F6" w:rsidP="00644D85">
      <w:pPr>
        <w:spacing w:after="0" w:line="240" w:lineRule="auto"/>
      </w:pPr>
      <w:r>
        <w:separator/>
      </w:r>
    </w:p>
  </w:endnote>
  <w:endnote w:type="continuationSeparator" w:id="0">
    <w:p w:rsidR="00CB63F6" w:rsidRDefault="00CB63F6" w:rsidP="00644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3F6" w:rsidRDefault="00CB63F6" w:rsidP="00644D85">
      <w:pPr>
        <w:spacing w:after="0" w:line="240" w:lineRule="auto"/>
      </w:pPr>
      <w:r>
        <w:separator/>
      </w:r>
    </w:p>
  </w:footnote>
  <w:footnote w:type="continuationSeparator" w:id="0">
    <w:p w:rsidR="00CB63F6" w:rsidRDefault="00CB63F6" w:rsidP="00644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 w:rsidP="00644D85">
    <w:pPr>
      <w:pStyle w:val="Header"/>
    </w:pPr>
    <w:r>
      <w:rPr>
        <w:rFonts w:hint="eastAsia"/>
        <w:rtl/>
      </w:rPr>
      <w:t>تجز</w:t>
    </w:r>
    <w:r>
      <w:rPr>
        <w:rtl/>
      </w:rPr>
      <w:t>ی</w:t>
    </w:r>
    <w:r>
      <w:rPr>
        <w:rFonts w:hint="eastAsia"/>
        <w:rtl/>
      </w:rPr>
      <w:t>ه</w:t>
    </w:r>
    <w:r>
      <w:rPr>
        <w:rtl/>
      </w:rPr>
      <w:t xml:space="preserve"> </w:t>
    </w:r>
    <w:r>
      <w:rPr>
        <w:rFonts w:hint="eastAsia"/>
        <w:rtl/>
      </w:rPr>
      <w:t>و</w:t>
    </w:r>
    <w:r>
      <w:rPr>
        <w:rtl/>
      </w:rPr>
      <w:t xml:space="preserve"> </w:t>
    </w:r>
    <w:r>
      <w:rPr>
        <w:rFonts w:hint="eastAsia"/>
        <w:rtl/>
      </w:rPr>
      <w:t>تحل</w:t>
    </w:r>
    <w:r>
      <w:rPr>
        <w:rtl/>
      </w:rPr>
      <w:t>ی</w:t>
    </w:r>
    <w:r>
      <w:rPr>
        <w:rFonts w:hint="eastAsia"/>
        <w:rtl/>
      </w:rPr>
      <w:t>ل</w:t>
    </w:r>
    <w:r>
      <w:rPr>
        <w:rtl/>
      </w:rPr>
      <w:t xml:space="preserve"> </w:t>
    </w:r>
    <w:r>
      <w:rPr>
        <w:rFonts w:hint="eastAsia"/>
        <w:rtl/>
      </w:rPr>
      <w:t>صورتها</w:t>
    </w:r>
    <w:r>
      <w:rPr>
        <w:rtl/>
      </w:rPr>
      <w:t xml:space="preserve">ی </w:t>
    </w:r>
    <w:r>
      <w:rPr>
        <w:rFonts w:hint="eastAsia"/>
        <w:rtl/>
      </w:rPr>
      <w:t>مال</w:t>
    </w:r>
    <w:r>
      <w:rPr>
        <w:rtl/>
      </w:rPr>
      <w:t xml:space="preserve">ی </w:t>
    </w:r>
    <w:r>
      <w:rPr>
        <w:rtl/>
      </w:rPr>
      <w:tab/>
    </w:r>
    <w:r>
      <w:rPr>
        <w:rtl/>
      </w:rPr>
      <w:tab/>
      <w:t>520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85" w:rsidRDefault="00644D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84220"/>
    <w:multiLevelType w:val="singleLevel"/>
    <w:tmpl w:val="8B5E332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5E"/>
    <w:rsid w:val="00027A13"/>
    <w:rsid w:val="00064BD0"/>
    <w:rsid w:val="000C3A05"/>
    <w:rsid w:val="000E66BD"/>
    <w:rsid w:val="001C16FA"/>
    <w:rsid w:val="0021311A"/>
    <w:rsid w:val="00262EA8"/>
    <w:rsid w:val="00275C93"/>
    <w:rsid w:val="002D747C"/>
    <w:rsid w:val="00304EA4"/>
    <w:rsid w:val="00325BF8"/>
    <w:rsid w:val="003557A8"/>
    <w:rsid w:val="0036205D"/>
    <w:rsid w:val="00422AB2"/>
    <w:rsid w:val="004B62A1"/>
    <w:rsid w:val="0056162A"/>
    <w:rsid w:val="00614349"/>
    <w:rsid w:val="00623FA0"/>
    <w:rsid w:val="00644D85"/>
    <w:rsid w:val="006B4BE8"/>
    <w:rsid w:val="006F4280"/>
    <w:rsid w:val="0079023B"/>
    <w:rsid w:val="007C3221"/>
    <w:rsid w:val="007D105E"/>
    <w:rsid w:val="0081384E"/>
    <w:rsid w:val="00826C53"/>
    <w:rsid w:val="008C78EC"/>
    <w:rsid w:val="008D7FF5"/>
    <w:rsid w:val="00AB7479"/>
    <w:rsid w:val="00B17F1A"/>
    <w:rsid w:val="00B66F8B"/>
    <w:rsid w:val="00B80E10"/>
    <w:rsid w:val="00BA248E"/>
    <w:rsid w:val="00BA4DC2"/>
    <w:rsid w:val="00BC354F"/>
    <w:rsid w:val="00C11DC7"/>
    <w:rsid w:val="00CB63F6"/>
    <w:rsid w:val="00D30F0E"/>
    <w:rsid w:val="00E20471"/>
    <w:rsid w:val="00E340A5"/>
    <w:rsid w:val="00E41364"/>
    <w:rsid w:val="00EE253F"/>
    <w:rsid w:val="00F4091E"/>
    <w:rsid w:val="00FC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4BE8"/>
    <w:rPr>
      <w:rFonts w:ascii="Tahoma" w:hAnsi="Tahoma" w:cs="Times New Roman"/>
      <w:sz w:val="16"/>
    </w:rPr>
  </w:style>
  <w:style w:type="table" w:customStyle="1" w:styleId="Calendar1">
    <w:name w:val="Calendar 1"/>
    <w:basedOn w:val="TableNormal"/>
    <w:uiPriority w:val="99"/>
    <w:qFormat/>
    <w:rsid w:val="00304EA4"/>
    <w:rPr>
      <w:rFonts w:eastAsia="MS Mincho" w:cs="Arial"/>
      <w:sz w:val="22"/>
      <w:szCs w:val="22"/>
      <w:lang w:eastAsia="ja-JP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rFonts w:ascii="Calibri" w:hAnsi="Calibri" w:cs="Arial"/>
        <w:b/>
        <w:i w:val="0"/>
        <w:color w:val="000000"/>
        <w:sz w:val="44"/>
      </w:rPr>
    </w:tblStylePr>
    <w:tblStylePr w:type="lastRow">
      <w:rPr>
        <w:rFonts w:cs="Arial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rPr>
        <w:rFonts w:cs="Arial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rPr>
        <w:rFonts w:cs="Arial"/>
      </w:rPr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813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4D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4D85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4D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4D85"/>
    <w:rPr>
      <w:rFonts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4BE8"/>
    <w:rPr>
      <w:rFonts w:ascii="Tahoma" w:hAnsi="Tahoma" w:cs="Times New Roman"/>
      <w:sz w:val="16"/>
    </w:rPr>
  </w:style>
  <w:style w:type="table" w:customStyle="1" w:styleId="Calendar1">
    <w:name w:val="Calendar 1"/>
    <w:basedOn w:val="TableNormal"/>
    <w:uiPriority w:val="99"/>
    <w:qFormat/>
    <w:rsid w:val="00304EA4"/>
    <w:rPr>
      <w:rFonts w:eastAsia="MS Mincho" w:cs="Arial"/>
      <w:sz w:val="22"/>
      <w:szCs w:val="22"/>
      <w:lang w:eastAsia="ja-JP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rFonts w:ascii="Calibri" w:hAnsi="Calibri" w:cs="Arial"/>
        <w:b/>
        <w:i w:val="0"/>
        <w:color w:val="000000"/>
        <w:sz w:val="44"/>
      </w:rPr>
    </w:tblStylePr>
    <w:tblStylePr w:type="lastRow">
      <w:rPr>
        <w:rFonts w:cs="Arial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rPr>
        <w:rFonts w:cs="Arial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rPr>
        <w:rFonts w:cs="Arial"/>
      </w:rPr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8138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4D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4D85"/>
    <w:rPr>
      <w:rFonts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4D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4D85"/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2015-01-02T16:34:00Z</dcterms:created>
  <dcterms:modified xsi:type="dcterms:W3CDTF">2015-01-02T16:34:00Z</dcterms:modified>
</cp:coreProperties>
</file>