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D452" w14:textId="77777777" w:rsidR="00194716" w:rsidRPr="00BA4235" w:rsidRDefault="00194716" w:rsidP="00194716">
      <w:pPr>
        <w:pStyle w:val="NormalWeb"/>
        <w:bidi/>
        <w:jc w:val="center"/>
        <w:rPr>
          <w:rFonts w:ascii="IRBadr" w:hAnsi="IRBadr" w:cs="IRBadr"/>
          <w:sz w:val="36"/>
          <w:szCs w:val="36"/>
          <w:lang w:bidi="fa-IR"/>
        </w:rPr>
      </w:pPr>
      <w:r w:rsidRPr="00BA4235">
        <w:rPr>
          <w:rFonts w:ascii="IRBadr" w:hAnsi="IRBadr" w:cs="IRBadr"/>
          <w:color w:val="552B2B"/>
          <w:sz w:val="36"/>
          <w:szCs w:val="36"/>
          <w:rtl/>
          <w:lang w:bidi="fa-IR"/>
        </w:rPr>
        <w:t>الميزان في تفسير القرآن ؛ ج‏13 ؛ ص109</w:t>
      </w:r>
    </w:p>
    <w:p w14:paraId="24911E44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عند هذه الموجودات المشهودة من السماء و الأرض و من فيهما ما يكشف كشفا صريحا عن وحدانية ربها في ربوبيته و ينزهه تعالى عن كل نقص و شين فهي تسبح الله سبحانه.</w:t>
      </w:r>
    </w:p>
    <w:p w14:paraId="6E42CD53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و ذلك أنها ليست لها في أنفسها إلا محض الحاجة و صرف الفاقة إليه في ذاتها و صفاتها و أحوالها. و الحاجة أقوى كاشف عما إليه الحاجة لا يستقل المحتاج دونه و لا ينفك عنه فكل من هذه الموجودات يكشف بحاجته في وجوده و نقصه في ذاته عن موجده الغني في وجوده التام الكامل في ذاته و بارتباطه بسائر الموجودات التي يستعين بها على تكميل وجوده و رفع نقائصه في ذاته أن موجده هو ربه المتصرف في كل شي‏ء المدبر لأمره.</w:t>
      </w:r>
    </w:p>
    <w:p w14:paraId="13CBD2F4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ثم </w:t>
      </w:r>
      <w:commentRangeStart w:id="0"/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النظام العام الجاري في الأشياء الجامع لشتاتها الرابط بينها يكشف عن وحدة موجدها</w:t>
      </w:r>
      <w:commentRangeEnd w:id="0"/>
      <w:r w:rsidR="00BA4235">
        <w:rPr>
          <w:rStyle w:val="CommentReference"/>
          <w:rFonts w:ascii="IRBadr" w:eastAsiaTheme="minorHAnsi" w:hAnsi="IRBadr" w:cs="IRBadr"/>
          <w:rtl/>
        </w:rPr>
        <w:commentReference w:id="0"/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، و أنه الذي إليه بوحدته يرجع الأشياء و به بوحدته ترتفع الحوائج و النقائص فلا يخلو من دونه من الحاجة، و لا يتعرى ما سواه من النقيصة و هو الرب لا رب غيره و الغني الذي لا فقر عنده و الكمال الذي لا نقص فيه.</w:t>
      </w:r>
    </w:p>
    <w:p w14:paraId="475735C0" w14:textId="55ED0759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فكل واحد من هذه الموجودات يكشف بحاجته و نقصه عن تنزه ربه عن الحاجة و براءته من النقص حتى أن الجاهل المثبت لربه شركاء من دونه أو الناسب إليه شيئا من النقص و الشين تعالى و تقدس يثبت بذلك تنزهه من الشريك و ينسب بذلك إليه البراءة من النقص </w:t>
      </w:r>
      <w:commentRangeStart w:id="1"/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فإن المعنى الذي تصور في ضمير هذا الإنسان و اللفظ الذي يلفظه لسانه و جميع ما استخدمه في تأدية هذا المقصود كل ذلك أمور موجودة تكشف بحاجتها الوجودية</w:t>
      </w:r>
      <w:r w:rsidRPr="00BA4235">
        <w:rPr>
          <w:rFonts w:ascii="IRBadr" w:hAnsi="IRBadr" w:cs="IRBadr"/>
          <w:color w:val="000000"/>
          <w:sz w:val="36"/>
          <w:szCs w:val="36"/>
          <w:lang w:bidi="fa-IR"/>
        </w:rPr>
        <w:t xml:space="preserve"> </w:t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عن رب واحد لا شريك له و لا نقص فيه.</w:t>
      </w:r>
      <w:commentRangeEnd w:id="1"/>
      <w:r w:rsidR="00B91624" w:rsidRPr="00BA4235">
        <w:rPr>
          <w:rStyle w:val="CommentReference"/>
          <w:rFonts w:ascii="IRBadr" w:eastAsiaTheme="minorHAnsi" w:hAnsi="IRBadr" w:cs="IRBadr"/>
          <w:rtl/>
        </w:rPr>
        <w:commentReference w:id="1"/>
      </w:r>
    </w:p>
    <w:p w14:paraId="77B5E3A9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فمثل هذا الإنسان الجاحد في كون جحوده اعترافا مثل ما لو ادعى إنسان أن لا إنسان متكلما في الدنيا و شهد على ذلك قولا فإن شهادته أقوى حجة على خلاف ما ادعاه و شهد عليه و كلما تكررت الشهادة على هذا النمط و كثر الشهود تأكدت الحجة من طريق الشهادة على خلافها.</w:t>
      </w:r>
    </w:p>
    <w:p w14:paraId="17EBC43B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lastRenderedPageBreak/>
        <w:t>فإن قلت: مجرد الكشف عن التنزه لا يسمى تسبيحا حتى يقارن القصد و القصد مما يتوقف على الحياة و أغلب هذه الموجودات عادمة للحياة كالأرض و السماء و أنواع الجمادات فلا مخلص من حمل التسبيح على المجاز فتسبيحها دلالتها بحسب وجودها على تنزه ربها.</w:t>
      </w:r>
    </w:p>
    <w:p w14:paraId="4AD3CC65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قلت: كلامه تعالى مشعر بأن العلم سار في الموجودات مع سريان الخلقة فلكل منها حظ من العلم على مقدار حظه من الوجود، و ليس لازم ذلك أن يتساوى الجميع من حيث العلم أو </w:t>
      </w:r>
      <w:commentRangeStart w:id="2"/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يتحد من حيث جنسه و نوعه </w:t>
      </w:r>
      <w:commentRangeEnd w:id="2"/>
      <w:r w:rsidR="00B91624" w:rsidRPr="00BA4235">
        <w:rPr>
          <w:rStyle w:val="CommentReference"/>
          <w:rFonts w:ascii="IRBadr" w:eastAsiaTheme="minorHAnsi" w:hAnsi="IRBadr" w:cs="IRBadr"/>
          <w:rtl/>
        </w:rPr>
        <w:commentReference w:id="2"/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أو يكون عند كل ما عند الإنسان من ذلك أو أن يفقه الإنسان بما عندها من العلم قال تعالى حكاية عن أعضاء الإنسان:</w:t>
      </w:r>
      <w:r w:rsidRPr="00BA4235">
        <w:rPr>
          <w:rFonts w:ascii="IRBadr" w:hAnsi="IRBadr" w:cs="IRBadr"/>
          <w:color w:val="006400"/>
          <w:sz w:val="36"/>
          <w:szCs w:val="36"/>
          <w:rtl/>
          <w:lang w:bidi="fa-IR"/>
        </w:rPr>
        <w:t xml:space="preserve"> «قالُوا أَنْطَقَنَا اللَّهُ الَّذِي أَنْطَقَ كُلَّ شَيْ‏ءٍ»</w:t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: حم السجدة: 21 و قال‏</w:t>
      </w:r>
      <w:r w:rsidRPr="00BA4235">
        <w:rPr>
          <w:rFonts w:ascii="IRBadr" w:hAnsi="IRBadr" w:cs="IRBadr"/>
          <w:color w:val="006400"/>
          <w:sz w:val="36"/>
          <w:szCs w:val="36"/>
          <w:rtl/>
          <w:lang w:bidi="fa-IR"/>
        </w:rPr>
        <w:t xml:space="preserve"> «فَقالَ لَها وَ لِلْأَرْضِ ائْتِيا طَوْعاً أَوْ كَرْهاً قالَتا أَتَيْنا طائِعِينَ»</w:t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: حم السجدة: 11 و الآيات في هذا المعنى كثيرة، و سيوافيك كلام مستقل في ذلك إن شاء الله تعالى.</w:t>
      </w:r>
    </w:p>
    <w:p w14:paraId="3A552B0A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و إذا كان كذلك فما من موجود مخلوق إلا و هو يشعر بنفسه بعض الشعور و </w:t>
      </w:r>
      <w:commentRangeStart w:id="3"/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هو يريد بوجوده إظهار نفسه المحتاجة الناقصة التي يحيط بها غنى ربه و كماله لا رب غيره </w:t>
      </w:r>
      <w:commentRangeEnd w:id="3"/>
      <w:r w:rsidR="00BA4235">
        <w:rPr>
          <w:rStyle w:val="CommentReference"/>
          <w:rFonts w:ascii="IRBadr" w:eastAsiaTheme="minorHAnsi" w:hAnsi="IRBadr" w:cs="IRBadr"/>
          <w:rtl/>
        </w:rPr>
        <w:commentReference w:id="3"/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فهو يسبح ربه و ينزهه عن الشريك و عن كل نقص ينسب إليه.</w:t>
      </w:r>
    </w:p>
    <w:p w14:paraId="7060EB22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و بذلك يظهر أن لا وجه لحمل التسبيح في الآية على مطلق الدلالة مجازا فالمجاز لا يصار إليه إلا مع امتناع الحمل على الحقيقة، و نظيره قول بعضهم: إن تسبيح بعض هذه الموجودات قالي حقيقي كتسبيح الملائكة و المؤمنين من الإنسان و تسبيح بعضها حالي مجازي كدلالة الجمادات بوجودها عليه تعالى و لفظ التسبيح مستعمل في الآية على سبيل عموم المجاز، و قد عرفت ضعفه آنفا.</w:t>
      </w:r>
    </w:p>
    <w:p w14:paraId="76DBD9DE" w14:textId="53986700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و ا</w:t>
      </w:r>
      <w:commentRangeStart w:id="4"/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لحق أن التسبيح في الجميع حقيقي قالي </w:t>
      </w:r>
      <w:commentRangeEnd w:id="4"/>
      <w:r w:rsidR="00373B5E">
        <w:rPr>
          <w:rStyle w:val="CommentReference"/>
          <w:rFonts w:ascii="IRBadr" w:eastAsiaTheme="minorHAnsi" w:hAnsi="IRBadr" w:cs="IRBadr"/>
        </w:rPr>
        <w:commentReference w:id="4"/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غير أن كونه قاليا لا يستلزم أن يكون‏</w:t>
      </w:r>
      <w:r w:rsidRPr="00BA4235">
        <w:rPr>
          <w:rFonts w:ascii="IRBadr" w:hAnsi="IRBadr" w:cs="IRBadr"/>
          <w:color w:val="000000"/>
          <w:sz w:val="36"/>
          <w:szCs w:val="36"/>
          <w:lang w:bidi="fa-IR"/>
        </w:rPr>
        <w:t xml:space="preserve"> </w:t>
      </w:r>
      <w:commentRangeStart w:id="5"/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بألفاظ موضوعة و أصوات مقروعة </w:t>
      </w:r>
      <w:commentRangeEnd w:id="5"/>
      <w:r w:rsidR="00B91624" w:rsidRPr="00BA4235">
        <w:rPr>
          <w:rStyle w:val="CommentReference"/>
          <w:rFonts w:ascii="IRBadr" w:eastAsiaTheme="minorHAnsi" w:hAnsi="IRBadr" w:cs="IRBadr"/>
          <w:rtl/>
        </w:rPr>
        <w:commentReference w:id="5"/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كما تقدمت الإشارة إليه و قد تقدم في آخر الجزء الثاني من الكتاب كلام في الكلام نافع في المقام.</w:t>
      </w:r>
    </w:p>
    <w:p w14:paraId="6B4218CD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فقوله تعالى: «</w:t>
      </w:r>
      <w:r w:rsidRPr="00BA4235">
        <w:rPr>
          <w:rFonts w:ascii="IRBadr" w:hAnsi="IRBadr" w:cs="IRBadr"/>
          <w:color w:val="006400"/>
          <w:sz w:val="36"/>
          <w:szCs w:val="36"/>
          <w:rtl/>
          <w:lang w:bidi="fa-IR"/>
        </w:rPr>
        <w:t>تُسَبِّحُ لَهُ السَّماواتُ السَّبْعُ وَ الْأَرْضُ وَ مَنْ فِيهِنَ‏</w:t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» يثبت لها تسبيحا حقيقيا و هو تكلمها بوجودها و ما له من الارتباط بسائر الموجودات الكائنة و بيانها تنزه ربها عما ينسب إليه المشركون من الشركاء و جهات النقص.</w:t>
      </w:r>
    </w:p>
    <w:p w14:paraId="61BE53C0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lastRenderedPageBreak/>
        <w:t>و قوله: «</w:t>
      </w:r>
      <w:r w:rsidRPr="00BA4235">
        <w:rPr>
          <w:rFonts w:ascii="IRBadr" w:hAnsi="IRBadr" w:cs="IRBadr"/>
          <w:color w:val="006400"/>
          <w:sz w:val="36"/>
          <w:szCs w:val="36"/>
          <w:rtl/>
          <w:lang w:bidi="fa-IR"/>
        </w:rPr>
        <w:t>وَ إِنْ مِنْ شَيْ‏ءٍ إِلَّا يُسَبِّحُ بِحَمْدِهِ‏</w:t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» تعميم التسبيح لكل شي‏ء و قد كانت الجملة السابقة عدت السماوات السبع و الأرض و من فيهن، و تزيد عليها بذكر الحمد مع التسبيح فتفيد أن كل شي‏ء كما يسبحه تعالى كذلك يحمده بالثناء عليه بجميل صفاته و أفعاله.</w:t>
      </w:r>
    </w:p>
    <w:p w14:paraId="5D9FE083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و ذلك أنه كما أن عند كل من هذه الأشياء شيئا من الحاجة و النقص عائدا إلى نفسه كذلك عنده من جميل صنعه و نعمته تعالى شي‏ء راجع إليه تعالى موهوب من لدنه، و كما أن إظهار هذه الأشياء لنفسها في الوجود إظهار لحاجتها و نقصها و كشف عن تنزه ربها عن الحاجة و النقص، و هو تسبيحها كذلك إبرازها لنفسها إبراز لما عندها من جميل فعل ربها الذي وراءه جميل صفاته تعالى فهو حمدها فليس الحمد إلا الثناء على الجميل </w:t>
      </w:r>
      <w:commentRangeStart w:id="6"/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 xml:space="preserve">الاختياري </w:t>
      </w:r>
      <w:commentRangeEnd w:id="6"/>
      <w:r w:rsidR="00B91624" w:rsidRPr="00BA4235">
        <w:rPr>
          <w:rStyle w:val="CommentReference"/>
          <w:rFonts w:ascii="IRBadr" w:eastAsiaTheme="minorHAnsi" w:hAnsi="IRBadr" w:cs="IRBadr"/>
          <w:rtl/>
        </w:rPr>
        <w:commentReference w:id="6"/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فهي تحمد ربها كما تسبحه و هو قوله: «</w:t>
      </w:r>
      <w:r w:rsidRPr="00BA4235">
        <w:rPr>
          <w:rFonts w:ascii="IRBadr" w:hAnsi="IRBadr" w:cs="IRBadr"/>
          <w:color w:val="006400"/>
          <w:sz w:val="36"/>
          <w:szCs w:val="36"/>
          <w:rtl/>
          <w:lang w:bidi="fa-IR"/>
        </w:rPr>
        <w:t>وَ إِنْ مِنْ شَيْ‏ءٍ إِلَّا يُسَبِّحُ بِحَمْدِهِ‏</w:t>
      </w: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».</w:t>
      </w:r>
    </w:p>
    <w:p w14:paraId="5974F3C8" w14:textId="77777777" w:rsidR="00194716" w:rsidRPr="00BA4235" w:rsidRDefault="00194716" w:rsidP="00194716">
      <w:pPr>
        <w:pStyle w:val="NormalWeb"/>
        <w:bidi/>
        <w:jc w:val="both"/>
        <w:rPr>
          <w:rFonts w:ascii="IRBadr" w:hAnsi="IRBadr" w:cs="IRBadr"/>
          <w:sz w:val="36"/>
          <w:szCs w:val="36"/>
          <w:rtl/>
          <w:lang w:bidi="fa-IR"/>
        </w:rPr>
      </w:pPr>
      <w:r w:rsidRPr="00BA4235">
        <w:rPr>
          <w:rFonts w:ascii="IRBadr" w:hAnsi="IRBadr" w:cs="IRBadr"/>
          <w:color w:val="000000"/>
          <w:sz w:val="36"/>
          <w:szCs w:val="36"/>
          <w:rtl/>
          <w:lang w:bidi="fa-IR"/>
        </w:rPr>
        <w:t>و بلفظ آخر إذا لوحظ الأشياء من جهة كشفها عما عند ربها بإبرازها ما عندها من الحاجة و النقص مع ما لها من الشعور بذلك كان ذلك تسبيحا منها، و إذا لوحظت من جهة كشفها ما لربها بإظهارها ما عندها من نعمة الوجود و سائر جهات الكمال فهو حمد منها لربها و إذا لوحظ كشفها ما عند الله سبحانه من صفة جمال أو جلال مع قطع النظر عن علمها و شعورها بما تكشف عنه كان ذلك دلالة منها عليه تعالى و هي آياته.</w:t>
      </w:r>
      <w:r w:rsidRPr="00BA4235">
        <w:rPr>
          <w:rStyle w:val="FootnoteReference"/>
          <w:rFonts w:ascii="IRBadr" w:hAnsi="IRBadr" w:cs="IRBadr"/>
          <w:color w:val="000000"/>
          <w:sz w:val="36"/>
          <w:szCs w:val="36"/>
          <w:rtl/>
          <w:lang w:bidi="fa-IR"/>
        </w:rPr>
        <w:footnoteReference w:id="1"/>
      </w:r>
    </w:p>
    <w:p w14:paraId="76B91299" w14:textId="77777777" w:rsidR="00194716" w:rsidRPr="00BA4235" w:rsidRDefault="00194716" w:rsidP="00194716">
      <w:pPr>
        <w:jc w:val="both"/>
        <w:rPr>
          <w:szCs w:val="36"/>
        </w:rPr>
      </w:pPr>
    </w:p>
    <w:p w14:paraId="350B7AB5" w14:textId="77777777" w:rsidR="00E57EDD" w:rsidRPr="00BA4235" w:rsidRDefault="00E57EDD" w:rsidP="00194716">
      <w:pPr>
        <w:jc w:val="both"/>
        <w:rPr>
          <w:szCs w:val="36"/>
        </w:rPr>
      </w:pPr>
    </w:p>
    <w:sectPr w:rsidR="00E57EDD" w:rsidRPr="00BA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dulahad Gharari" w:date="2024-01-29T19:48:00Z" w:initials="AG">
    <w:p w14:paraId="7761FA4F" w14:textId="20670634" w:rsidR="00BA4235" w:rsidRPr="00716F81" w:rsidRDefault="00BA4235" w:rsidP="00716F81">
      <w:pPr>
        <w:pStyle w:val="CommentText"/>
        <w:bidi/>
        <w:rPr>
          <w:sz w:val="28"/>
          <w:szCs w:val="28"/>
        </w:rPr>
      </w:pPr>
      <w:r w:rsidRPr="00716F81">
        <w:rPr>
          <w:rStyle w:val="CommentReference"/>
          <w:sz w:val="22"/>
          <w:szCs w:val="22"/>
        </w:rPr>
        <w:annotationRef/>
      </w:r>
      <w:r w:rsidRPr="00716F81">
        <w:rPr>
          <w:rFonts w:hint="cs"/>
          <w:sz w:val="28"/>
          <w:szCs w:val="28"/>
          <w:rtl/>
        </w:rPr>
        <w:t>طرق اثباته کثیرة منها التلاؤم بینها و منها أن عدم وحدته یستلزم فقره إلی أجزائه و ذلک نقص منه الیها و فقر له فیکون راجعا فلایکون مرجعا فیصح أن یقال به بوحدته ترتفع الحوائج</w:t>
      </w:r>
    </w:p>
  </w:comment>
  <w:comment w:id="1" w:author="Abdulahad Gharari" w:date="2024-01-29T19:34:00Z" w:initials="AG">
    <w:p w14:paraId="7DFB4EAB" w14:textId="53C72BA6" w:rsidR="00B91624" w:rsidRPr="00716F81" w:rsidRDefault="00B91624" w:rsidP="00716F81">
      <w:pPr>
        <w:pStyle w:val="CommentText"/>
        <w:bidi/>
        <w:rPr>
          <w:sz w:val="28"/>
          <w:szCs w:val="28"/>
        </w:rPr>
      </w:pPr>
      <w:r w:rsidRPr="00716F81">
        <w:rPr>
          <w:rStyle w:val="CommentReference"/>
          <w:sz w:val="22"/>
          <w:szCs w:val="22"/>
        </w:rPr>
        <w:annotationRef/>
      </w:r>
      <w:r w:rsidRPr="00716F81">
        <w:rPr>
          <w:rFonts w:hint="cs"/>
          <w:sz w:val="28"/>
          <w:szCs w:val="28"/>
          <w:rtl/>
        </w:rPr>
        <w:t xml:space="preserve">بل مضافا إلی ضرورة تقدم الاطلاق علی المقید نقول لولا التنزه عن النقص ثابتا في الکون لم یصح لذهن هؤلاء فهمه فإذا فهموه </w:t>
      </w:r>
      <w:r w:rsidRPr="00716F81">
        <w:rPr>
          <w:sz w:val="28"/>
          <w:szCs w:val="28"/>
          <w:rtl/>
        </w:rPr>
        <w:t>–</w:t>
      </w:r>
      <w:r w:rsidRPr="00716F81">
        <w:rPr>
          <w:rFonts w:hint="cs"/>
          <w:sz w:val="28"/>
          <w:szCs w:val="28"/>
          <w:rtl/>
        </w:rPr>
        <w:t xml:space="preserve"> و إن نفوه- ثبت أن ذلک لمن احتاجت الاشیاء إلیه و هو واحد</w:t>
      </w:r>
    </w:p>
  </w:comment>
  <w:comment w:id="2" w:author="Abdulahad Gharari" w:date="2024-01-29T19:39:00Z" w:initials="AG">
    <w:p w14:paraId="1AE2618A" w14:textId="59A8D974" w:rsidR="00B91624" w:rsidRPr="00716F81" w:rsidRDefault="00B91624" w:rsidP="00716F81">
      <w:pPr>
        <w:pStyle w:val="CommentText"/>
        <w:bidi/>
        <w:rPr>
          <w:sz w:val="28"/>
          <w:szCs w:val="28"/>
        </w:rPr>
      </w:pPr>
      <w:r w:rsidRPr="00716F81">
        <w:rPr>
          <w:rStyle w:val="CommentReference"/>
          <w:sz w:val="22"/>
          <w:szCs w:val="22"/>
        </w:rPr>
        <w:annotationRef/>
      </w:r>
      <w:r w:rsidRPr="00716F81">
        <w:rPr>
          <w:rFonts w:hint="cs"/>
          <w:sz w:val="28"/>
          <w:szCs w:val="28"/>
          <w:rtl/>
        </w:rPr>
        <w:t>هذا لان العلم مفهوم وجودي لا ماهوي</w:t>
      </w:r>
    </w:p>
  </w:comment>
  <w:comment w:id="3" w:author="Abdulahad Gharari" w:date="2024-01-29T19:51:00Z" w:initials="AG">
    <w:p w14:paraId="0F0DB563" w14:textId="77777777" w:rsidR="00BA4235" w:rsidRPr="00716F81" w:rsidRDefault="00BA4235" w:rsidP="00716F81">
      <w:pPr>
        <w:pStyle w:val="CommentText"/>
        <w:bidi/>
        <w:rPr>
          <w:sz w:val="28"/>
          <w:szCs w:val="28"/>
          <w:rtl/>
        </w:rPr>
      </w:pPr>
      <w:r w:rsidRPr="00716F81">
        <w:rPr>
          <w:rStyle w:val="CommentReference"/>
          <w:sz w:val="22"/>
          <w:szCs w:val="22"/>
        </w:rPr>
        <w:annotationRef/>
      </w:r>
      <w:r w:rsidRPr="00716F81">
        <w:rPr>
          <w:rFonts w:hint="cs"/>
          <w:sz w:val="28"/>
          <w:szCs w:val="28"/>
          <w:rtl/>
        </w:rPr>
        <w:t>عدم انفکاک توجه من موجود عن توجهه إلی نفسه وجداني فلیطالع کل أحد نفسه حتی یجده لایتوجه إلی شیء إلا في نفسه و إن کان غافلا عن توجهه و هذا من لوازم قولهم العشق بالذات لایعلل بل الصدور معلوله فلایعلل به فاغتنم.</w:t>
      </w:r>
    </w:p>
    <w:p w14:paraId="2B65C3E5" w14:textId="23E64263" w:rsidR="00BA4235" w:rsidRPr="00716F81" w:rsidRDefault="00BA4235" w:rsidP="00716F81">
      <w:pPr>
        <w:pStyle w:val="CommentText"/>
        <w:bidi/>
        <w:rPr>
          <w:sz w:val="28"/>
          <w:szCs w:val="28"/>
        </w:rPr>
      </w:pPr>
      <w:r w:rsidRPr="00716F81">
        <w:rPr>
          <w:rFonts w:hint="cs"/>
          <w:sz w:val="28"/>
          <w:szCs w:val="28"/>
          <w:rtl/>
        </w:rPr>
        <w:t>ثم إذا صح ارادة الذات لم یکن بد من اظهاره فإن کان غنیا وصف غناه کما ینبغی  و ذن کان فقیرا وصف غنی موجده علی حده و لذا کان جل شأنه منزها عما یصفون إلا ما وصفه به عباده المخلصون فهم یصفونه به فکان تسبیحهم علی ما ینبغی</w:t>
      </w:r>
    </w:p>
  </w:comment>
  <w:comment w:id="4" w:author="Abdulahad Gharari" w:date="2024-01-29T20:00:00Z" w:initials="AG">
    <w:p w14:paraId="547064CD" w14:textId="77777777" w:rsidR="00373B5E" w:rsidRPr="00716F81" w:rsidRDefault="00373B5E" w:rsidP="00716F81">
      <w:pPr>
        <w:pStyle w:val="CommentText"/>
        <w:bidi/>
        <w:rPr>
          <w:sz w:val="28"/>
          <w:szCs w:val="28"/>
          <w:rtl/>
          <w:lang w:bidi="fa-IR"/>
        </w:rPr>
      </w:pPr>
      <w:r w:rsidRPr="00716F81">
        <w:rPr>
          <w:rFonts w:hint="cs"/>
          <w:sz w:val="28"/>
          <w:szCs w:val="28"/>
          <w:rtl/>
          <w:lang w:bidi="fa-IR"/>
        </w:rPr>
        <w:t>امام خمینی هم همین نظر را دارند</w:t>
      </w:r>
    </w:p>
    <w:p w14:paraId="41EC241C" w14:textId="215693DB" w:rsidR="00373B5E" w:rsidRPr="00716F81" w:rsidRDefault="00373B5E" w:rsidP="00716F81">
      <w:pPr>
        <w:pStyle w:val="CommentText"/>
        <w:bidi/>
        <w:rPr>
          <w:sz w:val="28"/>
          <w:szCs w:val="28"/>
        </w:rPr>
      </w:pPr>
      <w:r w:rsidRPr="00716F81">
        <w:rPr>
          <w:rStyle w:val="CommentReference"/>
          <w:sz w:val="22"/>
          <w:szCs w:val="22"/>
        </w:rPr>
        <w:annotationRef/>
      </w:r>
      <w:r w:rsidRPr="00716F81">
        <w:rPr>
          <w:sz w:val="28"/>
          <w:szCs w:val="28"/>
        </w:rPr>
        <w:t xml:space="preserve"> </w:t>
      </w:r>
      <w:r w:rsidRPr="00716F81">
        <w:rPr>
          <w:sz w:val="28"/>
          <w:szCs w:val="28"/>
          <w:rtl/>
        </w:rPr>
        <w:t>تفسير سوره حمد، ص: 98</w:t>
      </w:r>
      <w:r w:rsidRPr="00716F81">
        <w:rPr>
          <w:rFonts w:hint="cs"/>
          <w:sz w:val="28"/>
          <w:szCs w:val="28"/>
          <w:rtl/>
        </w:rPr>
        <w:t xml:space="preserve"> و </w:t>
      </w:r>
      <w:r w:rsidRPr="00716F81">
        <w:rPr>
          <w:sz w:val="28"/>
          <w:szCs w:val="28"/>
          <w:rtl/>
        </w:rPr>
        <w:t xml:space="preserve"> چهل حديث(اربعين حديث)، ص: 654</w:t>
      </w:r>
    </w:p>
  </w:comment>
  <w:comment w:id="5" w:author="Abdulahad Gharari" w:date="2024-01-29T19:40:00Z" w:initials="AG">
    <w:p w14:paraId="3DAB25CF" w14:textId="0B64E1BC" w:rsidR="00B91624" w:rsidRPr="00716F81" w:rsidRDefault="00B91624" w:rsidP="00716F81">
      <w:pPr>
        <w:pStyle w:val="CommentText"/>
        <w:bidi/>
        <w:rPr>
          <w:sz w:val="24"/>
          <w:szCs w:val="24"/>
        </w:rPr>
      </w:pPr>
      <w:r w:rsidRPr="00716F81">
        <w:rPr>
          <w:rStyle w:val="CommentReference"/>
          <w:sz w:val="20"/>
          <w:szCs w:val="20"/>
        </w:rPr>
        <w:annotationRef/>
      </w:r>
      <w:r w:rsidRPr="00716F81">
        <w:rPr>
          <w:rFonts w:hint="cs"/>
          <w:sz w:val="24"/>
          <w:szCs w:val="24"/>
          <w:rtl/>
        </w:rPr>
        <w:t>أو یکون اللفظ الموضوع و الصوت المقروع مناسبا لنشئة دون أخری فیسمعه اهلها دون سواهم</w:t>
      </w:r>
    </w:p>
  </w:comment>
  <w:comment w:id="6" w:author="Abdulahad Gharari" w:date="2024-01-29T19:33:00Z" w:initials="AG">
    <w:p w14:paraId="5E4F6A99" w14:textId="0AE49380" w:rsidR="00B91624" w:rsidRPr="00716F81" w:rsidRDefault="00B91624" w:rsidP="00716F81">
      <w:pPr>
        <w:pStyle w:val="CommentText"/>
        <w:bidi/>
        <w:rPr>
          <w:sz w:val="32"/>
          <w:szCs w:val="32"/>
        </w:rPr>
      </w:pPr>
      <w:r w:rsidRPr="00716F81">
        <w:rPr>
          <w:rStyle w:val="CommentReference"/>
          <w:sz w:val="24"/>
          <w:szCs w:val="24"/>
        </w:rPr>
        <w:annotationRef/>
      </w:r>
      <w:r w:rsidRPr="00716F81">
        <w:rPr>
          <w:rFonts w:hint="cs"/>
          <w:sz w:val="32"/>
          <w:szCs w:val="32"/>
          <w:rtl/>
        </w:rPr>
        <w:t>صفة للثناء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61FA4F" w15:done="0"/>
  <w15:commentEx w15:paraId="7DFB4EAB" w15:done="0"/>
  <w15:commentEx w15:paraId="1AE2618A" w15:done="0"/>
  <w15:commentEx w15:paraId="2B65C3E5" w15:done="0"/>
  <w15:commentEx w15:paraId="41EC241C" w15:done="0"/>
  <w15:commentEx w15:paraId="3DAB25CF" w15:done="0"/>
  <w15:commentEx w15:paraId="5E4F6A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27F7D" w16cex:dateUtc="2024-01-29T16:18:00Z"/>
  <w16cex:commentExtensible w16cex:durableId="29627C3A" w16cex:dateUtc="2024-01-29T16:04:00Z"/>
  <w16cex:commentExtensible w16cex:durableId="29627D73" w16cex:dateUtc="2024-01-29T16:09:00Z"/>
  <w16cex:commentExtensible w16cex:durableId="29628029" w16cex:dateUtc="2024-01-29T16:21:00Z"/>
  <w16cex:commentExtensible w16cex:durableId="29628241" w16cex:dateUtc="2024-01-29T16:30:00Z"/>
  <w16cex:commentExtensible w16cex:durableId="29627DB3" w16cex:dateUtc="2024-01-29T16:10:00Z"/>
  <w16cex:commentExtensible w16cex:durableId="29627C00" w16cex:dateUtc="2024-01-29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61FA4F" w16cid:durableId="29627F7D"/>
  <w16cid:commentId w16cid:paraId="7DFB4EAB" w16cid:durableId="29627C3A"/>
  <w16cid:commentId w16cid:paraId="1AE2618A" w16cid:durableId="29627D73"/>
  <w16cid:commentId w16cid:paraId="2B65C3E5" w16cid:durableId="29628029"/>
  <w16cid:commentId w16cid:paraId="41EC241C" w16cid:durableId="29628241"/>
  <w16cid:commentId w16cid:paraId="3DAB25CF" w16cid:durableId="29627DB3"/>
  <w16cid:commentId w16cid:paraId="5E4F6A99" w16cid:durableId="29627C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C369" w14:textId="77777777" w:rsidR="00FE0C59" w:rsidRDefault="00FE0C59" w:rsidP="00194716">
      <w:pPr>
        <w:spacing w:after="0" w:line="240" w:lineRule="auto"/>
      </w:pPr>
      <w:r>
        <w:separator/>
      </w:r>
    </w:p>
  </w:endnote>
  <w:endnote w:type="continuationSeparator" w:id="0">
    <w:p w14:paraId="7377AF04" w14:textId="77777777" w:rsidR="00FE0C59" w:rsidRDefault="00FE0C59" w:rsidP="0019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3BDD" w14:textId="77777777" w:rsidR="00FE0C59" w:rsidRDefault="00FE0C59" w:rsidP="00194716">
      <w:pPr>
        <w:spacing w:after="0" w:line="240" w:lineRule="auto"/>
      </w:pPr>
      <w:r>
        <w:separator/>
      </w:r>
    </w:p>
  </w:footnote>
  <w:footnote w:type="continuationSeparator" w:id="0">
    <w:p w14:paraId="24BD1E32" w14:textId="77777777" w:rsidR="00FE0C59" w:rsidRDefault="00FE0C59" w:rsidP="00194716">
      <w:pPr>
        <w:spacing w:after="0" w:line="240" w:lineRule="auto"/>
      </w:pPr>
      <w:r>
        <w:continuationSeparator/>
      </w:r>
    </w:p>
  </w:footnote>
  <w:footnote w:id="1">
    <w:p w14:paraId="50255DB6" w14:textId="77777777" w:rsidR="00194716" w:rsidRDefault="00194716" w:rsidP="0019471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>طباطبايى، محمد حسين، الميزان فى تفسير القرآن، 20جلد، اسماعيليان - قم، چاپ: دوم، 1371.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ulahad Gharari">
    <w15:presenceInfo w15:providerId="Windows Live" w15:userId="49b904de2c4cc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16"/>
    <w:rsid w:val="00111B98"/>
    <w:rsid w:val="00194716"/>
    <w:rsid w:val="001F6DF5"/>
    <w:rsid w:val="002C65F0"/>
    <w:rsid w:val="00373B5E"/>
    <w:rsid w:val="00716F81"/>
    <w:rsid w:val="00897736"/>
    <w:rsid w:val="009504E5"/>
    <w:rsid w:val="00A209BE"/>
    <w:rsid w:val="00B91624"/>
    <w:rsid w:val="00BA4235"/>
    <w:rsid w:val="00E57EDD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45BDB6"/>
  <w15:chartTrackingRefBased/>
  <w15:docId w15:val="{472670FB-E66F-44C6-80A1-F9F4EF0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پاورقی"/>
    <w:basedOn w:val="Normal"/>
    <w:next w:val="Normal"/>
    <w:link w:val="Heading2Char"/>
    <w:uiPriority w:val="9"/>
    <w:semiHidden/>
    <w:unhideWhenUsed/>
    <w:qFormat/>
    <w:rsid w:val="00A209BE"/>
    <w:pPr>
      <w:keepNext/>
      <w:keepLines/>
      <w:bidi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پاورقی Char"/>
    <w:basedOn w:val="DefaultParagraphFont"/>
    <w:link w:val="Heading2"/>
    <w:uiPriority w:val="9"/>
    <w:semiHidden/>
    <w:rsid w:val="00A209BE"/>
    <w:rPr>
      <w:rFonts w:eastAsiaTheme="majorEastAsia" w:cstheme="majorBidi"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716"/>
    <w:pPr>
      <w:bidi/>
      <w:spacing w:after="0" w:line="240" w:lineRule="auto"/>
      <w:jc w:val="both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716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71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1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Abdulahad Gharari</dc:creator>
  <cp:keywords/>
  <dc:description/>
  <cp:lastModifiedBy>Abdulahad Gharari</cp:lastModifiedBy>
  <cp:revision>8</cp:revision>
  <cp:lastPrinted>2024-01-04T06:48:00Z</cp:lastPrinted>
  <dcterms:created xsi:type="dcterms:W3CDTF">2024-01-04T06:47:00Z</dcterms:created>
  <dcterms:modified xsi:type="dcterms:W3CDTF">2024-01-29T19:24:00Z</dcterms:modified>
</cp:coreProperties>
</file>