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76" w:rsidRPr="003C2F76" w:rsidRDefault="003C2F76" w:rsidP="003C2F76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3C2F76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3C2F76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3C2F76">
        <w:rPr>
          <w:rFonts w:ascii="Traditional Arabic" w:hAnsi="Traditional Arabic" w:cs="Traditional Arabic"/>
          <w:color w:val="000000"/>
          <w:sz w:val="26"/>
          <w:szCs w:val="26"/>
          <w:rtl/>
        </w:rPr>
        <w:t>فی ما یتعلق بصیغه الامر/اوامر</w:t>
      </w:r>
    </w:p>
    <w:p w:rsidR="00723A3C" w:rsidRPr="003C2F76" w:rsidRDefault="004443D6" w:rsidP="005F551D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مقدمه</w:t>
      </w:r>
    </w:p>
    <w:p w:rsidR="000845E8" w:rsidRPr="003C2F76" w:rsidRDefault="00164A7D" w:rsidP="00164A7D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جلسات گذشته </w:t>
      </w:r>
      <w:r w:rsidR="0075532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بحث </w:t>
      </w:r>
      <w:r w:rsidR="000845E8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 بود که مقتضای اطلاق صیغه امر، عینیت، و تعیینیّت، و نفسیّت است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0845E8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 نیازی به قیدِ و بیانِ زائد ندارند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0845E8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بلکه صرفِ اطلاق دلیل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0845E8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موارد</w:t>
      </w:r>
      <w:r w:rsidR="000845E8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اقتضا می کند </w:t>
      </w:r>
      <w:r w:rsidR="000845E8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به خلاف غیر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0845E8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کفایی و تخییری بودن که اطلاق برایشان کافی نیست و محتاج بیانِ قیدِ زائد هستند، </w:t>
      </w:r>
      <w:r w:rsidR="000845E8" w:rsidRPr="003C2F76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این بیان صاحب کفایه بود</w:t>
      </w:r>
      <w:r w:rsidR="000845E8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کاملا هم صحیح است.</w:t>
      </w:r>
      <w:r w:rsidR="004443D6" w:rsidRPr="003C2F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</w:p>
    <w:p w:rsidR="000845E8" w:rsidRPr="003C2F76" w:rsidRDefault="00AC6404" w:rsidP="000845E8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مختار محقق اصفهانی</w:t>
      </w:r>
    </w:p>
    <w:p w:rsidR="00BE36D8" w:rsidRPr="003C2F76" w:rsidRDefault="000845E8" w:rsidP="00164A7D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محقق اصفهانی </w:t>
      </w:r>
      <w:r w:rsidR="00575B4A" w:rsidRPr="003C2F76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در</w:t>
      </w:r>
      <w:r w:rsidR="00EE07ED" w:rsidRPr="003C2F76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صدد توجیه کلام استادش آخوند خراسانی برآمده</w:t>
      </w:r>
      <w:r w:rsidR="00EE07E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164A7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مطلب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 </w:t>
      </w:r>
      <w:r w:rsidR="00164A7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شکل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دیگری بیان کرده اند که با مخالف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تِ حضرتِ امام مواجه </w:t>
      </w:r>
      <w:r w:rsidR="00164A7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شده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ما 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نظر ایشان در نفسیّت را بیان می کنیم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عینیت و تعیینیّت 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 قیاس به آن فهمیده می شود.</w:t>
      </w:r>
    </w:p>
    <w:p w:rsidR="00BD2FFF" w:rsidRPr="003C2F76" w:rsidRDefault="000845E8" w:rsidP="00164A7D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ایشان می فرمایند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واجبِ غیری آن است که وَجَبَ لغیره، خودِ «لغیره» بودن</w:t>
      </w:r>
      <w:r w:rsidR="00164A7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یک قیدِ زائد است که نیازمند بیان است، اگر بیان نشده باشد</w:t>
      </w:r>
      <w:r w:rsidR="00164A7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عدم البیان به عدم الدخل 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پی 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بریم، پس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اطلاق کشف می ک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نیم، 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قیدِ «لغیره» دخلی ندارد، </w:t>
      </w:r>
      <w:r w:rsidR="00DA297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زیرا اگر دخال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 می داشت مولی باید بیان می کرد،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164A7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فلذا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همین مقدار که واجب شده و «لغیره» هم نیست برای اثبات نفسی بودن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کفایت می کند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DA297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</w:p>
    <w:p w:rsidR="000845E8" w:rsidRPr="003C2F76" w:rsidRDefault="00BD2FFF" w:rsidP="00164A7D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بیان دیگر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A297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واجب نفسی عبارت است از یک وجوب بعلاوه یک قیدِ عدمی، پس قید در واجبِ نفسی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A297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عدمی است و در واجبِ غیری</w:t>
      </w:r>
      <w:r w:rsidR="00575B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A297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وجودی است، قیدِ وجودی محتاجِ مئونه زائد و بیان است به خلاف قید عدمی، پس وقتی مولی در مقام بیان است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A297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عدم بیان قید برای اثبات قیدِ عدمی کفایت می کند، 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لذا </w:t>
      </w:r>
      <w:r w:rsidR="00DA297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وقتی مولی چیزی را واجب کرده و قیدی برایش ذکر نکرد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164A7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عدم البیان، وجوب نفسی را نشان می دهد</w:t>
      </w:r>
      <w:r w:rsidR="00DA297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4443D6" w:rsidRPr="003C2F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2"/>
      </w:r>
    </w:p>
    <w:p w:rsidR="000845E8" w:rsidRPr="003C2F76" w:rsidRDefault="00AC6404" w:rsidP="000845E8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اشکال حضرت امام به ایشان</w:t>
      </w:r>
    </w:p>
    <w:p w:rsidR="00887A66" w:rsidRPr="003C2F76" w:rsidRDefault="00766086" w:rsidP="00164A7D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color w:val="800000"/>
          <w:sz w:val="28"/>
          <w:szCs w:val="28"/>
          <w:rtl/>
          <w:lang w:bidi="fa-IR"/>
        </w:rPr>
        <w:t>مرحوم حضرت امام</w:t>
      </w:r>
      <w:r w:rsidR="00204F07" w:rsidRPr="003C2F76">
        <w:rPr>
          <w:rFonts w:ascii="Traditional Arabic" w:hAnsi="Traditional Arabic" w:cs="Traditional Arabic" w:hint="cs"/>
          <w:color w:val="800000"/>
          <w:sz w:val="28"/>
          <w:szCs w:val="28"/>
          <w:rtl/>
          <w:lang w:bidi="fa-IR"/>
        </w:rPr>
        <w:t>(ره)</w:t>
      </w:r>
      <w:r w:rsidRPr="003C2F76">
        <w:rPr>
          <w:rFonts w:ascii="Traditional Arabic" w:hAnsi="Traditional Arabic" w:cs="Traditional Arabic" w:hint="cs"/>
          <w:color w:val="800000"/>
          <w:sz w:val="28"/>
          <w:szCs w:val="28"/>
          <w:rtl/>
          <w:lang w:bidi="fa-IR"/>
        </w:rPr>
        <w:t xml:space="preserve"> اشکال </w:t>
      </w:r>
      <w:r w:rsidR="00204F07" w:rsidRPr="003C2F76">
        <w:rPr>
          <w:rFonts w:ascii="Traditional Arabic" w:hAnsi="Traditional Arabic" w:cs="Traditional Arabic" w:hint="cs"/>
          <w:color w:val="800000"/>
          <w:sz w:val="28"/>
          <w:szCs w:val="28"/>
          <w:rtl/>
          <w:lang w:bidi="fa-IR"/>
        </w:rPr>
        <w:t>کرده</w:t>
      </w:r>
      <w:r w:rsidRPr="003C2F76">
        <w:rPr>
          <w:rFonts w:ascii="Traditional Arabic" w:hAnsi="Traditional Arabic" w:cs="Traditional Arabic" w:hint="cs"/>
          <w:color w:val="800000"/>
          <w:sz w:val="28"/>
          <w:szCs w:val="28"/>
          <w:rtl/>
          <w:lang w:bidi="fa-IR"/>
        </w:rPr>
        <w:t xml:space="preserve"> و می فرمایند</w:t>
      </w:r>
      <w:r w:rsidR="00204F07" w:rsidRPr="003C2F76">
        <w:rPr>
          <w:rFonts w:ascii="Traditional Arabic" w:hAnsi="Traditional Arabic" w:cs="Traditional Arabic" w:hint="cs"/>
          <w:color w:val="800000"/>
          <w:sz w:val="28"/>
          <w:szCs w:val="28"/>
          <w:rtl/>
          <w:lang w:bidi="fa-IR"/>
        </w:rPr>
        <w:t>: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مقدار کفایت نمی کند، چرا؟ زیرا</w:t>
      </w:r>
      <w:r w:rsidR="00BD2FFF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قیود عدمی</w:t>
      </w:r>
      <w:r w:rsidR="00AC640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حسب مقام ثبوت</w:t>
      </w:r>
      <w:r w:rsidR="00BD2FFF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سه حا</w:t>
      </w:r>
      <w:r w:rsidR="00164A7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لت خارج نیستند، یا سالبه محصّله</w:t>
      </w:r>
      <w:r w:rsidR="00BD2FFF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یا سالبه </w:t>
      </w:r>
      <w:r w:rsidR="00887A6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المحمول و یا معدوله المحمول</w:t>
      </w:r>
      <w:r w:rsidR="00164A7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خواهند بود</w:t>
      </w:r>
      <w:r w:rsidR="00887A6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0845E8" w:rsidRPr="003C2F76" w:rsidRDefault="00BD2FFF" w:rsidP="00204F07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سالبه محصّله</w:t>
      </w:r>
      <w:r w:rsidR="00887A6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AC640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عنی سلب به نسبت خورده باشد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مانند اینکه بگوییم «لیس الانسان حجرا» «لا شئ من الانسان بحجر» یا در ما نحن فیه گفته شود «ما لم یجب لغیره» که نفی بر سر کل جمله در بیاید</w:t>
      </w:r>
      <w:r w:rsidR="00887A6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="00AC640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اگر نظر محقق اصفهانی سالبه محصله باشد</w:t>
      </w:r>
      <w:r w:rsidR="00164A7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AC640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قطعا غلط است، زیرا بحث ما در جایی است که وجوبی داریم و اصل وجوب ثابت است ولی در قیدِ زائد شک داریم در حالی که در سالبه </w:t>
      </w:r>
      <w:r w:rsidR="00AC640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>محصّله اصلِ وجوب مردّد است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AC640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لسانِ سالبه محصّله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AC640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اعم از این است که وجوبی ثابت باشد یا نباشد، «ما لم یجب لغیره» یعنی بنحوِ غیری واجب نشد، حالا آیا وجوبِ نفسی دارد؟ نسبت به اصل وجوب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ساکت است</w:t>
      </w:r>
      <w:r w:rsidR="00AC640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لذا این قسم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AC640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بدیهی البطلان است.</w:t>
      </w:r>
    </w:p>
    <w:p w:rsidR="00AC6404" w:rsidRPr="003C2F76" w:rsidRDefault="00AC6404" w:rsidP="00D9563E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اما سالبه المحمول یا 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معدوله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المحمول چیست؟ جمله ایجابی است که محمولش یک جمله سالبه است، مثلا بگوید «زید لیس بحمار» این جمله سالبه نیست ولی محمولش یک جمله سالبه است.</w:t>
      </w:r>
    </w:p>
    <w:p w:rsidR="00AC6404" w:rsidRPr="003C2F76" w:rsidRDefault="00AC6404" w:rsidP="00204F07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معدوله المحمول چیست؟ این است که ادات نفی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جزئی از محمول بشود، مانند «زید لا حمار»</w:t>
      </w:r>
      <w:r w:rsidR="003D5CF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یعنی </w:t>
      </w:r>
      <w:r w:rsidR="003D5CF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محمول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D5CF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جمله نیست 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بلکه</w:t>
      </w:r>
      <w:r w:rsidR="003D5CF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کلمه است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D5CF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اما اداتِ سلب بر آن داخل شده است.</w:t>
      </w:r>
    </w:p>
    <w:p w:rsidR="003D5CF6" w:rsidRPr="003C2F76" w:rsidRDefault="003D5CF6" w:rsidP="003D5CF6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 دو صورت ما کبری را قبول نداریم، محقق اصفهانی فرموده بود که لغیره بودن قیدِ عدمی است و احتیاجی به بیانِ زائد ندارد، حضرت امام می فرمایند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سالبه المحمول و معدوله المحمول نوعی قید هستند و احتیاج به بیان دارند، </w:t>
      </w:r>
    </w:p>
    <w:p w:rsidR="003D5CF6" w:rsidRPr="003C2F76" w:rsidRDefault="003D5CF6" w:rsidP="00D9563E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بنابراین اصل الوجوب یک عامی است که دو فرد دارد، یکی واجبِ نفسی و دیگری واجب غیری، هر دو فرد هم قیدی دارند و قید محتاج بیان است، اینکه بگویید وجوبِ نفسی قیدی ندارد لذا نیازمند بیان نیست غلط است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این لغیره بودن یا باید 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سالبه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المحمول یا معدوله المحمول باشد که هر دو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نوعی قید محسوب می شوند و محتاج بیان هس</w:t>
      </w:r>
      <w:r w:rsidR="00EE07E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تند، لذا با این اشکال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EE07E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حضرت امام توجیه محقق اصفهانی را خراب می کند.</w:t>
      </w:r>
      <w:r w:rsidR="004443D6" w:rsidRPr="003C2F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3"/>
      </w:r>
    </w:p>
    <w:p w:rsidR="00EE07ED" w:rsidRPr="003C2F76" w:rsidRDefault="00C837E6" w:rsidP="00EE07ED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مختار</w:t>
      </w:r>
    </w:p>
    <w:p w:rsidR="00EE07ED" w:rsidRPr="003C2F76" w:rsidRDefault="00C837E6" w:rsidP="00D41C3B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ایراد حضرت 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امام به این نحو که محقق اصف</w:t>
      </w:r>
      <w:r w:rsidR="00204F07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انی کلام آخوند را توجیه کرده اند وارد است و قابل دفاع نیست، لکن جان ک</w:t>
      </w:r>
      <w:r w:rsidR="00A44D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لام اینجاست که فرمایش آخوند خراسانی اینگونه نیست که محقق اصفهانی بیان کرده اند و اگر به 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همان بیان آخوند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باز</w:t>
      </w:r>
      <w:r w:rsidR="00A44D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گردیم و همان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 بپذیریم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 دچار این اشکالات نمی شویم، ایشان فرموده اند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واجب غیری به تنهایی نمی تواند واجب شود 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چون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مقدمه واجبِ دیگری است، 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پس 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حتما باید یک ذی المقدمه ای در کار باشد و واجب بشود تا وجوب به مقدمه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تعلّق بگیرد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. 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لذا اگر دلیل قائم شد و چیزی را برای ما واجب کرد و نسبت به ارتباط و مقدمیت برای واجب دیگری هم ساکت بود</w:t>
      </w:r>
      <w:r w:rsidR="00A44D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یا این واجب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واجبِ نفسی است، یا 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واجب غیری است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A44D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ذی المقدمه آن واجب نیست </w:t>
      </w:r>
      <w:r w:rsidR="00A44D4A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 این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امکان ندارد مقدمه واجب باشد و ذی المقدمه واجب نباشد.</w:t>
      </w:r>
    </w:p>
    <w:p w:rsidR="007E5500" w:rsidRPr="003C2F76" w:rsidRDefault="00A44D4A" w:rsidP="00D9563E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عبارت دیگر 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لازمه </w:t>
      </w:r>
      <w:r w:rsidR="002225D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واجب غ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2225D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ری بودن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 واجبِ دیگری به عنوان ذی المقدمه در کار باشد، 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اکنون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به مقتضای عدم البیان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دریافتیم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</w:t>
      </w:r>
      <w:r w:rsidR="002225D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یک واجب بیشتر نداریم و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واجبِ دیگری در کار نیست، آیا امکان دارد</w:t>
      </w:r>
      <w:r w:rsidR="002225D6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یک واجب،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واجبِ غیری باشد؟ خیر، پس ابتدا به کمک اطلاق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وجودِ واجبِ دیگر را نفی می کنیم، سپس به دلالتِ التزامیّه کشف می کنیم که این واجب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نفسی است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اگر غیری ب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ود هر آینه 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باید 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همراهش یک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 دیگر به عنوان ذی المقدمه وجود داشته باشد.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لازم به ذکر است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لوازم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 xml:space="preserve">در اصول عملیه اصل مثبت 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بوده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حجت نیستند 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عمومات و اطلاقات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حجت 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باشند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</w:t>
      </w:r>
      <w:r w:rsidR="007E5500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دلالت التزامیه هم حجت می باشد.</w:t>
      </w:r>
    </w:p>
    <w:p w:rsidR="007E5500" w:rsidRPr="003C2F76" w:rsidRDefault="007E5500" w:rsidP="00D9563E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 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نظر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آخوند است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فرمایش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بسیار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متینی 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البته عبارت ایشان به این نحو نیست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جان کلام ایشان همین است، اشکال حضرت امام به بیانِ محقق اصفهانی وارد بود ما هم حرفی نداریم لکن </w:t>
      </w:r>
      <w:r w:rsidR="00D41C3B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آن اشکال 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نمی تواند 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متوجهِ این بیان باشد.</w:t>
      </w:r>
    </w:p>
    <w:p w:rsidR="007E5500" w:rsidRPr="003C2F76" w:rsidRDefault="007E5500" w:rsidP="007E5500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امر در مقام توهم حظر</w:t>
      </w:r>
    </w:p>
    <w:p w:rsidR="00A44D4A" w:rsidRPr="003C2F76" w:rsidRDefault="00A44D4A" w:rsidP="00D9563E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حظر به معنای منع است، در مقام توهم حظر یعنی در جایی که چیزی در معرضیّت حرمت است و احتمال می دهیم که حرام باشد، در چنین جایی اگر امری به آن شئ تعلّق بگیرد دلالتی بر وجوب ندارد مانند: «</w:t>
      </w:r>
      <w:r w:rsidRPr="003C2F76">
        <w:rPr>
          <w:rFonts w:ascii="Traditional Arabic" w:hAnsi="Traditional Arabic" w:cs="Traditional Arabic" w:hint="cs"/>
          <w:color w:val="008000"/>
          <w:sz w:val="28"/>
          <w:szCs w:val="28"/>
          <w:rtl/>
          <w:lang w:bidi="fa-IR"/>
        </w:rPr>
        <w:t>اذا حللتم فاصطادوا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</w:t>
      </w:r>
      <w:r w:rsidR="000514F3" w:rsidRPr="003C2F76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4"/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اینجا مراد این نیست که همه باید صید کنند، بلکه این امر برای رفع احتمال حرمت و توهّم حظر وارد شده است.</w:t>
      </w:r>
    </w:p>
    <w:p w:rsidR="00A44D4A" w:rsidRPr="003C2F76" w:rsidRDefault="00A44D4A" w:rsidP="00D9563E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مسئله اقوالی 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وجود دارد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یک قول می گوید این امر دلالت بر اباحه می کند زیرا خودِ مقام حظر و احتمال حرمت</w:t>
      </w:r>
      <w:r w:rsidR="00D9563E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قرینه می شود برای اینکه این امر برای اثبات اباحه آمده است، البته اباحه خاصه.</w:t>
      </w:r>
    </w:p>
    <w:p w:rsidR="00A44D4A" w:rsidRPr="003C2F76" w:rsidRDefault="00A44D4A" w:rsidP="00C17DAD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قول دوم قدری دقیقتر است، مانند قول اول می گوید این امر برای رفع حرمت وارد شده است لکن رفع حرمت علاوه بر اباحه با وجوب و استحباب و کراهت هم سازگار است، چه دلیلی داریم که بگوییم دلالت بر اباحه می کند؟ دلیلی نداریم، لذا به حکم اوّلیّه</w:t>
      </w:r>
      <w:r w:rsidR="00C17DAD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قبل از حرمت</w:t>
      </w:r>
      <w:r w:rsidR="00F144B1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 می گردد </w:t>
      </w:r>
      <w:r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صید از بابت إحرام یک حرمت عارضی پیدا کرد که </w:t>
      </w:r>
      <w:r w:rsidR="00424F4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 این امر برداشته می شود ولی اینگونه نیست که مطلق صید حلال بشود بلکه باز می گردد به حکم اولیه اش، مثلا صیدِ در حرم حرام است چه برای محرم و چه برای مُحل، بعضی صیدها مکروه هستند مانند صید کبوتر چاهی، لذا وقتی می گوییم امر در مقام توهم حظر دلالت بر اباحه می کند مرادمان از اباحه</w:t>
      </w:r>
      <w:r w:rsidR="00F144B1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424F4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اباحه ی بالمعنی الاعم است که شامل کراهت و استحباب و وجوب هم می شود، یعنی بازگشت به همان حکم اولیه</w:t>
      </w:r>
      <w:r w:rsidR="00F144B1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</w:t>
      </w:r>
      <w:r w:rsidR="00424F44" w:rsidRPr="003C2F76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قبل از احرام داشته است.</w:t>
      </w:r>
    </w:p>
    <w:sectPr w:rsidR="00A44D4A" w:rsidRPr="003C2F76" w:rsidSect="000845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4C4" w:rsidRDefault="00D254C4" w:rsidP="00821F94">
      <w:pPr>
        <w:spacing w:after="0" w:line="240" w:lineRule="auto"/>
      </w:pPr>
      <w:r>
        <w:separator/>
      </w:r>
    </w:p>
  </w:endnote>
  <w:endnote w:type="continuationSeparator" w:id="0">
    <w:p w:rsidR="00D254C4" w:rsidRDefault="00D254C4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Default="00821F94" w:rsidP="00032B19">
    <w:pPr>
      <w:pStyle w:val="Footer"/>
      <w:jc w:val="center"/>
    </w:pPr>
  </w:p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4C4" w:rsidRDefault="00D254C4" w:rsidP="00821F94">
      <w:pPr>
        <w:spacing w:after="0" w:line="240" w:lineRule="auto"/>
      </w:pPr>
      <w:r>
        <w:separator/>
      </w:r>
    </w:p>
  </w:footnote>
  <w:footnote w:type="continuationSeparator" w:id="0">
    <w:p w:rsidR="00D254C4" w:rsidRDefault="00D254C4" w:rsidP="00821F94">
      <w:pPr>
        <w:spacing w:after="0" w:line="240" w:lineRule="auto"/>
      </w:pPr>
      <w:r>
        <w:continuationSeparator/>
      </w:r>
    </w:p>
  </w:footnote>
  <w:footnote w:id="1">
    <w:p w:rsidR="004443D6" w:rsidRPr="003C2F76" w:rsidRDefault="004443D6" w:rsidP="004443D6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bookmarkStart w:id="0" w:name="_GoBack"/>
      <w:r w:rsidRPr="003C2F76">
        <w:rPr>
          <w:rStyle w:val="FootnoteReference"/>
          <w:rFonts w:ascii="Traditional Arabic" w:hAnsi="Traditional Arabic" w:cs="Traditional Arabic"/>
        </w:rPr>
        <w:footnoteRef/>
      </w:r>
      <w:r w:rsidRPr="003C2F76">
        <w:rPr>
          <w:rFonts w:ascii="Traditional Arabic" w:hAnsi="Traditional Arabic" w:cs="Traditional Arabic"/>
        </w:rPr>
        <w:t xml:space="preserve"> </w:t>
      </w:r>
      <w:r w:rsidRPr="003C2F76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3C2F76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ص76.</w:t>
        </w:r>
      </w:hyperlink>
    </w:p>
  </w:footnote>
  <w:footnote w:id="2">
    <w:p w:rsidR="004443D6" w:rsidRPr="003C2F76" w:rsidRDefault="004443D6" w:rsidP="004443D6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3C2F76">
        <w:rPr>
          <w:rStyle w:val="FootnoteReference"/>
          <w:rFonts w:ascii="Traditional Arabic" w:hAnsi="Traditional Arabic" w:cs="Traditional Arabic"/>
        </w:rPr>
        <w:footnoteRef/>
      </w:r>
      <w:r w:rsidRPr="003C2F76">
        <w:rPr>
          <w:rFonts w:ascii="Traditional Arabic" w:hAnsi="Traditional Arabic" w:cs="Traditional Arabic"/>
        </w:rPr>
        <w:t xml:space="preserve"> </w:t>
      </w:r>
      <w:r w:rsidRPr="003C2F76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2" w:history="1">
        <w:r w:rsidRPr="003C2F76">
          <w:rPr>
            <w:rStyle w:val="Hyperlink"/>
            <w:rFonts w:ascii="Traditional Arabic" w:hAnsi="Traditional Arabic" w:cs="Traditional Arabic" w:hint="cs"/>
            <w:rtl/>
            <w:lang w:bidi="fa-IR"/>
          </w:rPr>
          <w:t xml:space="preserve">نهایه </w:t>
        </w:r>
        <w:r w:rsidRPr="003C2F76">
          <w:rPr>
            <w:rStyle w:val="Hyperlink"/>
            <w:rFonts w:ascii="Traditional Arabic" w:hAnsi="Traditional Arabic" w:cs="Traditional Arabic" w:hint="cs"/>
            <w:rtl/>
            <w:lang w:bidi="fa-IR"/>
          </w:rPr>
          <w:t>الدرایه، محمد حسین اصفهانی، ج1، ص353.</w:t>
        </w:r>
      </w:hyperlink>
    </w:p>
  </w:footnote>
  <w:footnote w:id="3">
    <w:p w:rsidR="004443D6" w:rsidRPr="003C2F76" w:rsidRDefault="004443D6" w:rsidP="004443D6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3C2F76">
        <w:rPr>
          <w:rStyle w:val="FootnoteReference"/>
          <w:rFonts w:ascii="Traditional Arabic" w:hAnsi="Traditional Arabic" w:cs="Traditional Arabic"/>
        </w:rPr>
        <w:footnoteRef/>
      </w:r>
      <w:r w:rsidRPr="003C2F76">
        <w:rPr>
          <w:rFonts w:ascii="Traditional Arabic" w:hAnsi="Traditional Arabic" w:cs="Traditional Arabic"/>
        </w:rPr>
        <w:t xml:space="preserve"> </w:t>
      </w:r>
      <w:r w:rsidRPr="003C2F76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3" w:history="1">
        <w:r w:rsidRPr="003C2F76">
          <w:rPr>
            <w:rStyle w:val="Hyperlink"/>
            <w:rFonts w:ascii="Traditional Arabic" w:hAnsi="Traditional Arabic" w:cs="Traditional Arabic" w:hint="cs"/>
            <w:rtl/>
            <w:lang w:bidi="fa-IR"/>
          </w:rPr>
          <w:t xml:space="preserve">مناهج </w:t>
        </w:r>
        <w:r w:rsidRPr="003C2F76">
          <w:rPr>
            <w:rStyle w:val="Hyperlink"/>
            <w:rFonts w:ascii="Traditional Arabic" w:hAnsi="Traditional Arabic" w:cs="Traditional Arabic" w:hint="cs"/>
            <w:rtl/>
            <w:lang w:bidi="fa-IR"/>
          </w:rPr>
          <w:t>الوصول، الامام الخمینی، ج1، ص283.</w:t>
        </w:r>
      </w:hyperlink>
    </w:p>
  </w:footnote>
  <w:footnote w:id="4">
    <w:p w:rsidR="000514F3" w:rsidRPr="003C2F76" w:rsidRDefault="000514F3" w:rsidP="000514F3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3C2F76">
        <w:rPr>
          <w:rStyle w:val="FootnoteReference"/>
          <w:rFonts w:ascii="Traditional Arabic" w:hAnsi="Traditional Arabic" w:cs="Traditional Arabic"/>
        </w:rPr>
        <w:footnoteRef/>
      </w:r>
      <w:r w:rsidRPr="003C2F76">
        <w:rPr>
          <w:rFonts w:ascii="Traditional Arabic" w:hAnsi="Traditional Arabic" w:cs="Traditional Arabic"/>
        </w:rPr>
        <w:t xml:space="preserve"> </w:t>
      </w:r>
      <w:r w:rsidRPr="003C2F76"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Pr="003C2F76">
        <w:rPr>
          <w:rFonts w:ascii="Traditional Arabic" w:hAnsi="Traditional Arabic" w:cs="Traditional Arabic" w:hint="cs"/>
          <w:rtl/>
          <w:lang w:bidi="fa-IR"/>
        </w:rPr>
        <w:t xml:space="preserve">سوره </w:t>
      </w:r>
      <w:r w:rsidRPr="003C2F76">
        <w:rPr>
          <w:rFonts w:ascii="Traditional Arabic" w:hAnsi="Traditional Arabic" w:cs="Traditional Arabic" w:hint="cs"/>
          <w:rtl/>
          <w:lang w:bidi="fa-IR"/>
        </w:rPr>
        <w:t>مائده، آیه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76" w:rsidRPr="003C2F76" w:rsidRDefault="003C2F76" w:rsidP="003C2F76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چهار</w:t>
    </w:r>
    <w:r>
      <w:rPr>
        <w:rFonts w:ascii="Traditional Arabic" w:hAnsi="Traditional Arabic" w:cs="Traditional Arabic" w:hint="cs"/>
        <w:rtl/>
        <w:lang w:bidi="fa-IR"/>
      </w:rPr>
      <w:t xml:space="preserve"> 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23</w:t>
    </w:r>
    <w:r>
      <w:rPr>
        <w:rFonts w:ascii="Traditional Arabic" w:hAnsi="Traditional Arabic" w:cs="Traditional Arabic"/>
        <w:rtl/>
        <w:lang w:bidi="fa-IR"/>
      </w:rPr>
      <w:t>/09/1394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1222E"/>
    <w:rsid w:val="0002395D"/>
    <w:rsid w:val="00025470"/>
    <w:rsid w:val="00032B19"/>
    <w:rsid w:val="00044CA9"/>
    <w:rsid w:val="000459D7"/>
    <w:rsid w:val="000514F3"/>
    <w:rsid w:val="00053E82"/>
    <w:rsid w:val="00064E52"/>
    <w:rsid w:val="00083D21"/>
    <w:rsid w:val="000845E8"/>
    <w:rsid w:val="00084E31"/>
    <w:rsid w:val="000A27EC"/>
    <w:rsid w:val="000B4A8C"/>
    <w:rsid w:val="000C2920"/>
    <w:rsid w:val="000C4F00"/>
    <w:rsid w:val="000E3770"/>
    <w:rsid w:val="000E7069"/>
    <w:rsid w:val="001344C8"/>
    <w:rsid w:val="00152670"/>
    <w:rsid w:val="00164A7D"/>
    <w:rsid w:val="00171A6C"/>
    <w:rsid w:val="001A338C"/>
    <w:rsid w:val="001C2A75"/>
    <w:rsid w:val="001E1D6B"/>
    <w:rsid w:val="00204F07"/>
    <w:rsid w:val="0021020D"/>
    <w:rsid w:val="002225D6"/>
    <w:rsid w:val="00244AFB"/>
    <w:rsid w:val="00254925"/>
    <w:rsid w:val="00257540"/>
    <w:rsid w:val="00275D90"/>
    <w:rsid w:val="002A2800"/>
    <w:rsid w:val="002B6492"/>
    <w:rsid w:val="002F6041"/>
    <w:rsid w:val="00303F55"/>
    <w:rsid w:val="0031263A"/>
    <w:rsid w:val="00315268"/>
    <w:rsid w:val="00320827"/>
    <w:rsid w:val="003528B7"/>
    <w:rsid w:val="003731A0"/>
    <w:rsid w:val="0038599A"/>
    <w:rsid w:val="00395A8F"/>
    <w:rsid w:val="003B0882"/>
    <w:rsid w:val="003B1467"/>
    <w:rsid w:val="003B4C05"/>
    <w:rsid w:val="003C2F76"/>
    <w:rsid w:val="003D5CF6"/>
    <w:rsid w:val="003D70BD"/>
    <w:rsid w:val="003E4EB2"/>
    <w:rsid w:val="00423527"/>
    <w:rsid w:val="00424F44"/>
    <w:rsid w:val="0042575A"/>
    <w:rsid w:val="004443D6"/>
    <w:rsid w:val="004445DA"/>
    <w:rsid w:val="00445822"/>
    <w:rsid w:val="0048674E"/>
    <w:rsid w:val="004D5792"/>
    <w:rsid w:val="004E0809"/>
    <w:rsid w:val="004E53F6"/>
    <w:rsid w:val="004F5122"/>
    <w:rsid w:val="00523158"/>
    <w:rsid w:val="005367E8"/>
    <w:rsid w:val="00542886"/>
    <w:rsid w:val="0056008E"/>
    <w:rsid w:val="0057368C"/>
    <w:rsid w:val="00575B4A"/>
    <w:rsid w:val="005A1759"/>
    <w:rsid w:val="005A77E1"/>
    <w:rsid w:val="005E1BCE"/>
    <w:rsid w:val="005F4DA1"/>
    <w:rsid w:val="005F551D"/>
    <w:rsid w:val="00605C0F"/>
    <w:rsid w:val="0062488E"/>
    <w:rsid w:val="00643AD1"/>
    <w:rsid w:val="00653EEB"/>
    <w:rsid w:val="00667F62"/>
    <w:rsid w:val="00676C15"/>
    <w:rsid w:val="006855EC"/>
    <w:rsid w:val="006C73EE"/>
    <w:rsid w:val="006D1108"/>
    <w:rsid w:val="006D418A"/>
    <w:rsid w:val="006E5318"/>
    <w:rsid w:val="007054F4"/>
    <w:rsid w:val="00712127"/>
    <w:rsid w:val="0072276A"/>
    <w:rsid w:val="00723A3C"/>
    <w:rsid w:val="0073064B"/>
    <w:rsid w:val="0074568F"/>
    <w:rsid w:val="0075532D"/>
    <w:rsid w:val="00766086"/>
    <w:rsid w:val="007660E3"/>
    <w:rsid w:val="00790A55"/>
    <w:rsid w:val="00797555"/>
    <w:rsid w:val="007D5290"/>
    <w:rsid w:val="007E24B9"/>
    <w:rsid w:val="007E5500"/>
    <w:rsid w:val="00807BE3"/>
    <w:rsid w:val="00821F94"/>
    <w:rsid w:val="0082262E"/>
    <w:rsid w:val="00827816"/>
    <w:rsid w:val="00835EC3"/>
    <w:rsid w:val="00843D24"/>
    <w:rsid w:val="008532BF"/>
    <w:rsid w:val="008847F7"/>
    <w:rsid w:val="00887A66"/>
    <w:rsid w:val="008A53CA"/>
    <w:rsid w:val="008A640D"/>
    <w:rsid w:val="008C1868"/>
    <w:rsid w:val="008D027E"/>
    <w:rsid w:val="008D22EF"/>
    <w:rsid w:val="008E0D46"/>
    <w:rsid w:val="008F0EFA"/>
    <w:rsid w:val="008F3B49"/>
    <w:rsid w:val="009019F9"/>
    <w:rsid w:val="00912E76"/>
    <w:rsid w:val="00924546"/>
    <w:rsid w:val="0093098B"/>
    <w:rsid w:val="009618E4"/>
    <w:rsid w:val="009673E7"/>
    <w:rsid w:val="009779E5"/>
    <w:rsid w:val="009A027F"/>
    <w:rsid w:val="009C40BC"/>
    <w:rsid w:val="00A04D2C"/>
    <w:rsid w:val="00A06A65"/>
    <w:rsid w:val="00A33BB5"/>
    <w:rsid w:val="00A37827"/>
    <w:rsid w:val="00A44D4A"/>
    <w:rsid w:val="00A531F6"/>
    <w:rsid w:val="00A86836"/>
    <w:rsid w:val="00A94E9E"/>
    <w:rsid w:val="00AA72A1"/>
    <w:rsid w:val="00AB4594"/>
    <w:rsid w:val="00AC6404"/>
    <w:rsid w:val="00AD4B60"/>
    <w:rsid w:val="00AF3834"/>
    <w:rsid w:val="00B113BB"/>
    <w:rsid w:val="00B324E4"/>
    <w:rsid w:val="00B330D8"/>
    <w:rsid w:val="00B35E4B"/>
    <w:rsid w:val="00B46B28"/>
    <w:rsid w:val="00B74AEB"/>
    <w:rsid w:val="00B82133"/>
    <w:rsid w:val="00B97ECC"/>
    <w:rsid w:val="00BC7280"/>
    <w:rsid w:val="00BD2FFF"/>
    <w:rsid w:val="00BE36D8"/>
    <w:rsid w:val="00C065A6"/>
    <w:rsid w:val="00C066AA"/>
    <w:rsid w:val="00C17DAD"/>
    <w:rsid w:val="00C32907"/>
    <w:rsid w:val="00C51B33"/>
    <w:rsid w:val="00C70D3A"/>
    <w:rsid w:val="00C837E6"/>
    <w:rsid w:val="00C83ACA"/>
    <w:rsid w:val="00C91D40"/>
    <w:rsid w:val="00CD77B1"/>
    <w:rsid w:val="00CE2CEE"/>
    <w:rsid w:val="00CE7622"/>
    <w:rsid w:val="00CF476D"/>
    <w:rsid w:val="00D12C93"/>
    <w:rsid w:val="00D254C4"/>
    <w:rsid w:val="00D37373"/>
    <w:rsid w:val="00D41C3B"/>
    <w:rsid w:val="00D91972"/>
    <w:rsid w:val="00D9563E"/>
    <w:rsid w:val="00D9662E"/>
    <w:rsid w:val="00DA2174"/>
    <w:rsid w:val="00DA2976"/>
    <w:rsid w:val="00DA3D74"/>
    <w:rsid w:val="00DB5733"/>
    <w:rsid w:val="00DB6BFE"/>
    <w:rsid w:val="00DC37E5"/>
    <w:rsid w:val="00DD504C"/>
    <w:rsid w:val="00DE5E70"/>
    <w:rsid w:val="00DF534B"/>
    <w:rsid w:val="00E253ED"/>
    <w:rsid w:val="00E40F50"/>
    <w:rsid w:val="00E75C46"/>
    <w:rsid w:val="00E830F9"/>
    <w:rsid w:val="00E86813"/>
    <w:rsid w:val="00EB4B27"/>
    <w:rsid w:val="00EC33CD"/>
    <w:rsid w:val="00EE07ED"/>
    <w:rsid w:val="00EE08B7"/>
    <w:rsid w:val="00F103F5"/>
    <w:rsid w:val="00F10CFD"/>
    <w:rsid w:val="00F144B1"/>
    <w:rsid w:val="00F1793D"/>
    <w:rsid w:val="00F17D08"/>
    <w:rsid w:val="00F60AB8"/>
    <w:rsid w:val="00F84D0D"/>
    <w:rsid w:val="00FA3955"/>
    <w:rsid w:val="00FC69CE"/>
    <w:rsid w:val="00FC7194"/>
    <w:rsid w:val="00FD2180"/>
    <w:rsid w:val="00FD56DE"/>
    <w:rsid w:val="00FD5A25"/>
    <w:rsid w:val="00FE4843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075595"/>
  <w15:docId w15:val="{4F1972F8-53B3-4AE9-B20B-92CA729D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3110/1/283/&#1605;&#1583;&#1601;&#1608;&#1593;&#1548;" TargetMode="External"/><Relationship Id="rId2" Type="http://schemas.openxmlformats.org/officeDocument/2006/relationships/hyperlink" Target="http://lib.eshia.ir/27897/1/353/&#1608;&#1575;&#1604;&#1578;&#1581;&#1602;&#1610;&#1602;" TargetMode="External"/><Relationship Id="rId1" Type="http://schemas.openxmlformats.org/officeDocument/2006/relationships/hyperlink" Target="http://lib.eshia.ir/27004/1/76/&#1575;&#1604;&#1605;&#1576;&#1581;&#157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0D9E-E485-4BA0-BFB7-C43B062A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130</cp:revision>
  <cp:lastPrinted>2016-01-09T11:13:00Z</cp:lastPrinted>
  <dcterms:created xsi:type="dcterms:W3CDTF">2015-12-21T10:10:00Z</dcterms:created>
  <dcterms:modified xsi:type="dcterms:W3CDTF">2016-01-25T11:03:00Z</dcterms:modified>
</cp:coreProperties>
</file>