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9469C9"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34246101" w:history="1">
        <w:r w:rsidR="009469C9" w:rsidRPr="00D8543B">
          <w:rPr>
            <w:rStyle w:val="Hyperlink"/>
            <w:rFonts w:hint="eastAsia"/>
            <w:noProof/>
            <w:rtl/>
          </w:rPr>
          <w:t>ادامه</w:t>
        </w:r>
        <w:r w:rsidR="009469C9" w:rsidRPr="00D8543B">
          <w:rPr>
            <w:rStyle w:val="Hyperlink"/>
            <w:noProof/>
            <w:rtl/>
          </w:rPr>
          <w:t xml:space="preserve"> </w:t>
        </w:r>
        <w:r w:rsidR="009469C9" w:rsidRPr="00D8543B">
          <w:rPr>
            <w:rStyle w:val="Hyperlink"/>
            <w:rFonts w:hint="eastAsia"/>
            <w:noProof/>
            <w:rtl/>
          </w:rPr>
          <w:t>مرحله</w:t>
        </w:r>
        <w:r w:rsidR="009469C9" w:rsidRPr="00D8543B">
          <w:rPr>
            <w:rStyle w:val="Hyperlink"/>
            <w:noProof/>
            <w:rtl/>
          </w:rPr>
          <w:t xml:space="preserve"> </w:t>
        </w:r>
        <w:r w:rsidR="009469C9" w:rsidRPr="00D8543B">
          <w:rPr>
            <w:rStyle w:val="Hyperlink"/>
            <w:rFonts w:hint="eastAsia"/>
            <w:noProof/>
            <w:rtl/>
          </w:rPr>
          <w:t>أوّل</w:t>
        </w:r>
        <w:r w:rsidR="009469C9" w:rsidRPr="00D8543B">
          <w:rPr>
            <w:rStyle w:val="Hyperlink"/>
            <w:noProof/>
            <w:rtl/>
          </w:rPr>
          <w:t xml:space="preserve"> </w:t>
        </w:r>
        <w:r w:rsidR="009469C9" w:rsidRPr="00D8543B">
          <w:rPr>
            <w:rStyle w:val="Hyperlink"/>
            <w:rFonts w:hint="eastAsia"/>
            <w:noProof/>
            <w:rtl/>
          </w:rPr>
          <w:t>و</w:t>
        </w:r>
        <w:r w:rsidR="009469C9" w:rsidRPr="00D8543B">
          <w:rPr>
            <w:rStyle w:val="Hyperlink"/>
            <w:noProof/>
            <w:rtl/>
          </w:rPr>
          <w:t xml:space="preserve"> </w:t>
        </w:r>
        <w:r w:rsidR="009469C9" w:rsidRPr="00D8543B">
          <w:rPr>
            <w:rStyle w:val="Hyperlink"/>
            <w:rFonts w:hint="eastAsia"/>
            <w:noProof/>
            <w:rtl/>
          </w:rPr>
          <w:t>دوم</w:t>
        </w:r>
        <w:r w:rsidR="009469C9">
          <w:rPr>
            <w:noProof/>
            <w:webHidden/>
            <w:rtl/>
          </w:rPr>
          <w:tab/>
        </w:r>
        <w:r w:rsidR="009469C9">
          <w:rPr>
            <w:noProof/>
            <w:webHidden/>
            <w:rtl/>
          </w:rPr>
          <w:fldChar w:fldCharType="begin"/>
        </w:r>
        <w:r w:rsidR="009469C9">
          <w:rPr>
            <w:noProof/>
            <w:webHidden/>
            <w:rtl/>
          </w:rPr>
          <w:instrText xml:space="preserve"> </w:instrText>
        </w:r>
        <w:r w:rsidR="009469C9">
          <w:rPr>
            <w:noProof/>
            <w:webHidden/>
          </w:rPr>
          <w:instrText>PAGEREF</w:instrText>
        </w:r>
        <w:r w:rsidR="009469C9">
          <w:rPr>
            <w:noProof/>
            <w:webHidden/>
            <w:rtl/>
          </w:rPr>
          <w:instrText xml:space="preserve"> _</w:instrText>
        </w:r>
        <w:r w:rsidR="009469C9">
          <w:rPr>
            <w:noProof/>
            <w:webHidden/>
          </w:rPr>
          <w:instrText>Toc</w:instrText>
        </w:r>
        <w:r w:rsidR="009469C9">
          <w:rPr>
            <w:noProof/>
            <w:webHidden/>
            <w:rtl/>
          </w:rPr>
          <w:instrText xml:space="preserve">34246101 </w:instrText>
        </w:r>
        <w:r w:rsidR="009469C9">
          <w:rPr>
            <w:noProof/>
            <w:webHidden/>
          </w:rPr>
          <w:instrText>\h</w:instrText>
        </w:r>
        <w:r w:rsidR="009469C9">
          <w:rPr>
            <w:noProof/>
            <w:webHidden/>
            <w:rtl/>
          </w:rPr>
          <w:instrText xml:space="preserve"> </w:instrText>
        </w:r>
        <w:r w:rsidR="009469C9">
          <w:rPr>
            <w:noProof/>
            <w:webHidden/>
            <w:rtl/>
          </w:rPr>
        </w:r>
        <w:r w:rsidR="009469C9">
          <w:rPr>
            <w:noProof/>
            <w:webHidden/>
            <w:rtl/>
          </w:rPr>
          <w:fldChar w:fldCharType="separate"/>
        </w:r>
        <w:r w:rsidR="009469C9">
          <w:rPr>
            <w:noProof/>
            <w:webHidden/>
            <w:rtl/>
          </w:rPr>
          <w:t>1</w:t>
        </w:r>
        <w:r w:rsidR="009469C9">
          <w:rPr>
            <w:noProof/>
            <w:webHidden/>
            <w:rtl/>
          </w:rPr>
          <w:fldChar w:fldCharType="end"/>
        </w:r>
      </w:hyperlink>
    </w:p>
    <w:p w:rsidR="009469C9" w:rsidRDefault="0082548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4246102" w:history="1">
        <w:r w:rsidR="009469C9" w:rsidRPr="00D8543B">
          <w:rPr>
            <w:rStyle w:val="Hyperlink"/>
            <w:rFonts w:hint="eastAsia"/>
            <w:noProof/>
            <w:rtl/>
          </w:rPr>
          <w:t>مرحله</w:t>
        </w:r>
        <w:r w:rsidR="009469C9" w:rsidRPr="00D8543B">
          <w:rPr>
            <w:rStyle w:val="Hyperlink"/>
            <w:noProof/>
            <w:rtl/>
          </w:rPr>
          <w:t xml:space="preserve"> </w:t>
        </w:r>
        <w:r w:rsidR="009469C9" w:rsidRPr="00D8543B">
          <w:rPr>
            <w:rStyle w:val="Hyperlink"/>
            <w:rFonts w:hint="eastAsia"/>
            <w:noProof/>
            <w:rtl/>
          </w:rPr>
          <w:t>سوم</w:t>
        </w:r>
        <w:r w:rsidR="009469C9" w:rsidRPr="00D8543B">
          <w:rPr>
            <w:rStyle w:val="Hyperlink"/>
            <w:noProof/>
            <w:rtl/>
          </w:rPr>
          <w:t xml:space="preserve">: </w:t>
        </w:r>
        <w:r w:rsidR="009469C9" w:rsidRPr="00D8543B">
          <w:rPr>
            <w:rStyle w:val="Hyperlink"/>
            <w:rFonts w:hint="eastAsia"/>
            <w:noProof/>
            <w:rtl/>
          </w:rPr>
          <w:t>بررس</w:t>
        </w:r>
        <w:r w:rsidR="009469C9" w:rsidRPr="00D8543B">
          <w:rPr>
            <w:rStyle w:val="Hyperlink"/>
            <w:rFonts w:hint="cs"/>
            <w:noProof/>
            <w:rtl/>
          </w:rPr>
          <w:t>ی</w:t>
        </w:r>
        <w:r w:rsidR="009469C9" w:rsidRPr="00D8543B">
          <w:rPr>
            <w:rStyle w:val="Hyperlink"/>
            <w:noProof/>
            <w:rtl/>
          </w:rPr>
          <w:t xml:space="preserve"> </w:t>
        </w:r>
        <w:r w:rsidR="009469C9" w:rsidRPr="00D8543B">
          <w:rPr>
            <w:rStyle w:val="Hyperlink"/>
            <w:rFonts w:hint="eastAsia"/>
            <w:noProof/>
            <w:rtl/>
          </w:rPr>
          <w:t>ق</w:t>
        </w:r>
        <w:r w:rsidR="009469C9" w:rsidRPr="00D8543B">
          <w:rPr>
            <w:rStyle w:val="Hyperlink"/>
            <w:rFonts w:hint="cs"/>
            <w:noProof/>
            <w:rtl/>
          </w:rPr>
          <w:t>ی</w:t>
        </w:r>
        <w:r w:rsidR="009469C9" w:rsidRPr="00D8543B">
          <w:rPr>
            <w:rStyle w:val="Hyperlink"/>
            <w:rFonts w:hint="eastAsia"/>
            <w:noProof/>
            <w:rtl/>
          </w:rPr>
          <w:t>ود</w:t>
        </w:r>
        <w:r w:rsidR="009469C9" w:rsidRPr="00D8543B">
          <w:rPr>
            <w:rStyle w:val="Hyperlink"/>
            <w:noProof/>
            <w:rtl/>
          </w:rPr>
          <w:t xml:space="preserve"> </w:t>
        </w:r>
        <w:r w:rsidR="009469C9" w:rsidRPr="00D8543B">
          <w:rPr>
            <w:rStyle w:val="Hyperlink"/>
            <w:rFonts w:hint="eastAsia"/>
            <w:noProof/>
            <w:rtl/>
          </w:rPr>
          <w:t>نقل</w:t>
        </w:r>
        <w:r w:rsidR="009469C9" w:rsidRPr="00D8543B">
          <w:rPr>
            <w:rStyle w:val="Hyperlink"/>
            <w:noProof/>
            <w:rtl/>
          </w:rPr>
          <w:t xml:space="preserve"> </w:t>
        </w:r>
        <w:r w:rsidR="009469C9" w:rsidRPr="00D8543B">
          <w:rPr>
            <w:rStyle w:val="Hyperlink"/>
            <w:rFonts w:hint="eastAsia"/>
            <w:noProof/>
            <w:rtl/>
          </w:rPr>
          <w:t>به</w:t>
        </w:r>
        <w:r w:rsidR="009469C9" w:rsidRPr="00D8543B">
          <w:rPr>
            <w:rStyle w:val="Hyperlink"/>
            <w:noProof/>
            <w:rtl/>
          </w:rPr>
          <w:t xml:space="preserve"> </w:t>
        </w:r>
        <w:r w:rsidR="009469C9" w:rsidRPr="00D8543B">
          <w:rPr>
            <w:rStyle w:val="Hyperlink"/>
            <w:rFonts w:hint="eastAsia"/>
            <w:noProof/>
            <w:rtl/>
          </w:rPr>
          <w:t>مشاهد</w:t>
        </w:r>
        <w:r w:rsidR="009469C9" w:rsidRPr="00D8543B">
          <w:rPr>
            <w:rStyle w:val="Hyperlink"/>
            <w:noProof/>
            <w:rtl/>
          </w:rPr>
          <w:t xml:space="preserve"> </w:t>
        </w:r>
        <w:r w:rsidR="009469C9" w:rsidRPr="00D8543B">
          <w:rPr>
            <w:rStyle w:val="Hyperlink"/>
            <w:rFonts w:hint="eastAsia"/>
            <w:noProof/>
            <w:rtl/>
          </w:rPr>
          <w:t>مشرفه</w:t>
        </w:r>
        <w:r w:rsidR="009469C9">
          <w:rPr>
            <w:noProof/>
            <w:webHidden/>
            <w:rtl/>
          </w:rPr>
          <w:tab/>
        </w:r>
        <w:r w:rsidR="009469C9">
          <w:rPr>
            <w:noProof/>
            <w:webHidden/>
            <w:rtl/>
          </w:rPr>
          <w:fldChar w:fldCharType="begin"/>
        </w:r>
        <w:r w:rsidR="009469C9">
          <w:rPr>
            <w:noProof/>
            <w:webHidden/>
            <w:rtl/>
          </w:rPr>
          <w:instrText xml:space="preserve"> </w:instrText>
        </w:r>
        <w:r w:rsidR="009469C9">
          <w:rPr>
            <w:noProof/>
            <w:webHidden/>
          </w:rPr>
          <w:instrText>PAGEREF</w:instrText>
        </w:r>
        <w:r w:rsidR="009469C9">
          <w:rPr>
            <w:noProof/>
            <w:webHidden/>
            <w:rtl/>
          </w:rPr>
          <w:instrText xml:space="preserve"> _</w:instrText>
        </w:r>
        <w:r w:rsidR="009469C9">
          <w:rPr>
            <w:noProof/>
            <w:webHidden/>
          </w:rPr>
          <w:instrText>Toc</w:instrText>
        </w:r>
        <w:r w:rsidR="009469C9">
          <w:rPr>
            <w:noProof/>
            <w:webHidden/>
            <w:rtl/>
          </w:rPr>
          <w:instrText xml:space="preserve">34246102 </w:instrText>
        </w:r>
        <w:r w:rsidR="009469C9">
          <w:rPr>
            <w:noProof/>
            <w:webHidden/>
          </w:rPr>
          <w:instrText>\h</w:instrText>
        </w:r>
        <w:r w:rsidR="009469C9">
          <w:rPr>
            <w:noProof/>
            <w:webHidden/>
            <w:rtl/>
          </w:rPr>
          <w:instrText xml:space="preserve"> </w:instrText>
        </w:r>
        <w:r w:rsidR="009469C9">
          <w:rPr>
            <w:noProof/>
            <w:webHidden/>
            <w:rtl/>
          </w:rPr>
        </w:r>
        <w:r w:rsidR="009469C9">
          <w:rPr>
            <w:noProof/>
            <w:webHidden/>
            <w:rtl/>
          </w:rPr>
          <w:fldChar w:fldCharType="separate"/>
        </w:r>
        <w:r w:rsidR="009469C9">
          <w:rPr>
            <w:noProof/>
            <w:webHidden/>
            <w:rtl/>
          </w:rPr>
          <w:t>3</w:t>
        </w:r>
        <w:r w:rsidR="009469C9">
          <w:rPr>
            <w:noProof/>
            <w:webHidden/>
            <w:rtl/>
          </w:rPr>
          <w:fldChar w:fldCharType="end"/>
        </w:r>
      </w:hyperlink>
    </w:p>
    <w:p w:rsidR="009469C9" w:rsidRDefault="00825484">
      <w:pPr>
        <w:pStyle w:val="TOC4"/>
        <w:tabs>
          <w:tab w:val="right" w:leader="dot" w:pos="10194"/>
        </w:tabs>
        <w:rPr>
          <w:rFonts w:asciiTheme="minorHAnsi" w:eastAsiaTheme="minorEastAsia" w:hAnsiTheme="minorHAnsi" w:cstheme="minorBidi"/>
          <w:bCs w:val="0"/>
          <w:noProof/>
          <w:color w:val="auto"/>
          <w:szCs w:val="22"/>
          <w:rtl/>
          <w:lang w:bidi="ar-SA"/>
        </w:rPr>
      </w:pPr>
      <w:hyperlink w:anchor="_Toc34246103" w:history="1">
        <w:r w:rsidR="009469C9" w:rsidRPr="00D8543B">
          <w:rPr>
            <w:rStyle w:val="Hyperlink"/>
            <w:rFonts w:hint="eastAsia"/>
            <w:noProof/>
            <w:rtl/>
          </w:rPr>
          <w:t>ق</w:t>
        </w:r>
        <w:r w:rsidR="009469C9" w:rsidRPr="00D8543B">
          <w:rPr>
            <w:rStyle w:val="Hyperlink"/>
            <w:rFonts w:hint="cs"/>
            <w:noProof/>
            <w:rtl/>
          </w:rPr>
          <w:t>ی</w:t>
        </w:r>
        <w:r w:rsidR="009469C9" w:rsidRPr="00D8543B">
          <w:rPr>
            <w:rStyle w:val="Hyperlink"/>
            <w:rFonts w:hint="eastAsia"/>
            <w:noProof/>
            <w:rtl/>
          </w:rPr>
          <w:t>د</w:t>
        </w:r>
        <w:r w:rsidR="009469C9" w:rsidRPr="00D8543B">
          <w:rPr>
            <w:rStyle w:val="Hyperlink"/>
            <w:noProof/>
            <w:rtl/>
          </w:rPr>
          <w:t xml:space="preserve"> </w:t>
        </w:r>
        <w:r w:rsidR="009469C9" w:rsidRPr="00D8543B">
          <w:rPr>
            <w:rStyle w:val="Hyperlink"/>
            <w:rFonts w:hint="eastAsia"/>
            <w:noProof/>
            <w:rtl/>
          </w:rPr>
          <w:t>أوّل</w:t>
        </w:r>
        <w:r w:rsidR="009469C9" w:rsidRPr="00D8543B">
          <w:rPr>
            <w:rStyle w:val="Hyperlink"/>
            <w:noProof/>
            <w:rtl/>
          </w:rPr>
          <w:t xml:space="preserve">: </w:t>
        </w:r>
        <w:r w:rsidR="009469C9" w:rsidRPr="00D8543B">
          <w:rPr>
            <w:rStyle w:val="Hyperlink"/>
            <w:rFonts w:hint="eastAsia"/>
            <w:noProof/>
            <w:rtl/>
          </w:rPr>
          <w:t>نقل</w:t>
        </w:r>
        <w:r w:rsidR="009469C9" w:rsidRPr="00D8543B">
          <w:rPr>
            <w:rStyle w:val="Hyperlink"/>
            <w:noProof/>
            <w:rtl/>
          </w:rPr>
          <w:t xml:space="preserve"> </w:t>
        </w:r>
        <w:r w:rsidR="009469C9" w:rsidRPr="00D8543B">
          <w:rPr>
            <w:rStyle w:val="Hyperlink"/>
            <w:rFonts w:hint="eastAsia"/>
            <w:noProof/>
            <w:rtl/>
          </w:rPr>
          <w:t>مستلزم</w:t>
        </w:r>
        <w:r w:rsidR="009469C9" w:rsidRPr="00D8543B">
          <w:rPr>
            <w:rStyle w:val="Hyperlink"/>
            <w:noProof/>
            <w:rtl/>
          </w:rPr>
          <w:t xml:space="preserve"> </w:t>
        </w:r>
        <w:r w:rsidR="009469C9" w:rsidRPr="00D8543B">
          <w:rPr>
            <w:rStyle w:val="Hyperlink"/>
            <w:rFonts w:hint="eastAsia"/>
            <w:noProof/>
            <w:rtl/>
          </w:rPr>
          <w:t>تقط</w:t>
        </w:r>
        <w:r w:rsidR="009469C9" w:rsidRPr="00D8543B">
          <w:rPr>
            <w:rStyle w:val="Hyperlink"/>
            <w:rFonts w:hint="cs"/>
            <w:noProof/>
            <w:rtl/>
          </w:rPr>
          <w:t>ی</w:t>
        </w:r>
        <w:r w:rsidR="009469C9" w:rsidRPr="00D8543B">
          <w:rPr>
            <w:rStyle w:val="Hyperlink"/>
            <w:rFonts w:hint="eastAsia"/>
            <w:noProof/>
            <w:rtl/>
          </w:rPr>
          <w:t>ع</w:t>
        </w:r>
        <w:r w:rsidR="009469C9" w:rsidRPr="00D8543B">
          <w:rPr>
            <w:rStyle w:val="Hyperlink"/>
            <w:noProof/>
            <w:rtl/>
          </w:rPr>
          <w:t xml:space="preserve"> </w:t>
        </w:r>
        <w:r w:rsidR="009469C9" w:rsidRPr="00D8543B">
          <w:rPr>
            <w:rStyle w:val="Hyperlink"/>
            <w:rFonts w:hint="eastAsia"/>
            <w:noProof/>
            <w:rtl/>
          </w:rPr>
          <w:t>باشد</w:t>
        </w:r>
        <w:r w:rsidR="009469C9">
          <w:rPr>
            <w:noProof/>
            <w:webHidden/>
            <w:rtl/>
          </w:rPr>
          <w:tab/>
        </w:r>
        <w:r w:rsidR="009469C9">
          <w:rPr>
            <w:noProof/>
            <w:webHidden/>
            <w:rtl/>
          </w:rPr>
          <w:fldChar w:fldCharType="begin"/>
        </w:r>
        <w:r w:rsidR="009469C9">
          <w:rPr>
            <w:noProof/>
            <w:webHidden/>
            <w:rtl/>
          </w:rPr>
          <w:instrText xml:space="preserve"> </w:instrText>
        </w:r>
        <w:r w:rsidR="009469C9">
          <w:rPr>
            <w:noProof/>
            <w:webHidden/>
          </w:rPr>
          <w:instrText>PAGEREF</w:instrText>
        </w:r>
        <w:r w:rsidR="009469C9">
          <w:rPr>
            <w:noProof/>
            <w:webHidden/>
            <w:rtl/>
          </w:rPr>
          <w:instrText xml:space="preserve"> _</w:instrText>
        </w:r>
        <w:r w:rsidR="009469C9">
          <w:rPr>
            <w:noProof/>
            <w:webHidden/>
          </w:rPr>
          <w:instrText>Toc</w:instrText>
        </w:r>
        <w:r w:rsidR="009469C9">
          <w:rPr>
            <w:noProof/>
            <w:webHidden/>
            <w:rtl/>
          </w:rPr>
          <w:instrText xml:space="preserve">34246103 </w:instrText>
        </w:r>
        <w:r w:rsidR="009469C9">
          <w:rPr>
            <w:noProof/>
            <w:webHidden/>
          </w:rPr>
          <w:instrText>\h</w:instrText>
        </w:r>
        <w:r w:rsidR="009469C9">
          <w:rPr>
            <w:noProof/>
            <w:webHidden/>
            <w:rtl/>
          </w:rPr>
          <w:instrText xml:space="preserve"> </w:instrText>
        </w:r>
        <w:r w:rsidR="009469C9">
          <w:rPr>
            <w:noProof/>
            <w:webHidden/>
            <w:rtl/>
          </w:rPr>
        </w:r>
        <w:r w:rsidR="009469C9">
          <w:rPr>
            <w:noProof/>
            <w:webHidden/>
            <w:rtl/>
          </w:rPr>
          <w:fldChar w:fldCharType="separate"/>
        </w:r>
        <w:r w:rsidR="009469C9">
          <w:rPr>
            <w:noProof/>
            <w:webHidden/>
            <w:rtl/>
          </w:rPr>
          <w:t>3</w:t>
        </w:r>
        <w:r w:rsidR="009469C9">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9469C9">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9469C9">
        <w:rPr>
          <w:rFonts w:hint="cs"/>
          <w:rtl/>
        </w:rPr>
        <w:t>کروها</w:t>
      </w:r>
      <w:r w:rsidR="00012294">
        <w:rPr>
          <w:rFonts w:hint="cs"/>
          <w:rtl/>
        </w:rPr>
        <w:t xml:space="preserve">ت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9469C9">
        <w:rPr>
          <w:rFonts w:hint="cs"/>
          <w:rtl/>
        </w:rPr>
        <w:t>کروهات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9469C9">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9469C9">
        <w:rPr>
          <w:rFonts w:ascii="Noor_Lotus" w:hAnsi="Noor_Lotus" w:cs="B Lotus" w:hint="cs"/>
          <w:sz w:val="28"/>
          <w:rtl/>
          <w:lang w:bidi="ar-SA"/>
        </w:rPr>
        <w:tab/>
      </w:r>
      <w:r w:rsidR="009469C9">
        <w:rPr>
          <w:rFonts w:ascii="Noor_Lotus" w:hAnsi="Noor_Lotus" w:cs="B Lotus" w:hint="cs"/>
          <w:sz w:val="28"/>
          <w:rtl/>
          <w:lang w:bidi="ar-SA"/>
        </w:rPr>
        <w:tab/>
        <w:t>06</w:t>
      </w:r>
      <w:r w:rsidRPr="00676A67">
        <w:rPr>
          <w:rFonts w:ascii="Noor_Lotus" w:hAnsi="Noor_Lotus" w:cs="B Lotus" w:hint="cs"/>
          <w:sz w:val="28"/>
          <w:rtl/>
          <w:lang w:bidi="ar-SA"/>
        </w:rPr>
        <w:t>/</w:t>
      </w:r>
      <w:r w:rsidR="009469C9">
        <w:rPr>
          <w:rFonts w:ascii="Noor_Lotus" w:hAnsi="Noor_Lotus" w:cs="B Lotus" w:hint="cs"/>
          <w:sz w:val="28"/>
          <w:rtl/>
          <w:lang w:bidi="ar-SA"/>
        </w:rPr>
        <w:t>01</w:t>
      </w:r>
      <w:r w:rsidRPr="00676A67">
        <w:rPr>
          <w:rFonts w:ascii="Noor_Lotus" w:hAnsi="Noor_Lotus" w:cs="B Lotus" w:hint="cs"/>
          <w:sz w:val="28"/>
          <w:rtl/>
          <w:lang w:bidi="ar-SA"/>
        </w:rPr>
        <w:t>/139</w:t>
      </w:r>
      <w:r w:rsidR="009469C9">
        <w:rPr>
          <w:rFonts w:ascii="Noor_Lotus" w:hAnsi="Noor_Lotus" w:cs="B Lotus" w:hint="cs"/>
          <w:sz w:val="28"/>
          <w:rtl/>
          <w:lang w:bidi="ar-SA"/>
        </w:rPr>
        <w:t>6</w:t>
      </w:r>
      <w:r w:rsidRPr="00676A67">
        <w:rPr>
          <w:rFonts w:ascii="Noor_Lotus" w:hAnsi="Noor_Lotus" w:cs="B Lotus" w:hint="cs"/>
          <w:sz w:val="28"/>
          <w:rtl/>
          <w:lang w:bidi="ar-SA"/>
        </w:rPr>
        <w:t xml:space="preserve">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9469C9">
        <w:rPr>
          <w:rFonts w:ascii="Noor_Lotus" w:hAnsi="Noor_Lotus" w:cs="B Lotus" w:hint="cs"/>
          <w:sz w:val="28"/>
          <w:rtl/>
          <w:lang w:bidi="ar-SA"/>
        </w:rPr>
        <w:t>یک</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10</w:t>
      </w:r>
      <w:r w:rsidR="009469C9">
        <w:rPr>
          <w:rFonts w:ascii="Noor_Lotus" w:hAnsi="Noor_Lotus" w:cs="B Lotus" w:hint="cs"/>
          <w:sz w:val="28"/>
          <w:rtl/>
          <w:lang w:bidi="ar-SA"/>
        </w:rPr>
        <w:t>6</w:t>
      </w:r>
      <w:r>
        <w:rPr>
          <w:rFonts w:ascii="Noor_Lotus" w:hAnsi="Noor_Lotus" w:cs="B Lotus" w:hint="cs"/>
          <w:sz w:val="28"/>
          <w:rtl/>
          <w:lang w:bidi="ar-SA"/>
        </w:rPr>
        <w:t xml:space="preserve"> </w:t>
      </w:r>
    </w:p>
    <w:p w:rsidR="009469C9" w:rsidRDefault="009469C9" w:rsidP="009469C9">
      <w:pPr>
        <w:pStyle w:val="Heading3"/>
        <w:rPr>
          <w:rtl/>
        </w:rPr>
      </w:pPr>
      <w:bookmarkStart w:id="11" w:name="_Toc34245570"/>
      <w:bookmarkStart w:id="12" w:name="_Toc34246101"/>
      <w:r>
        <w:rPr>
          <w:rFonts w:hint="cs"/>
          <w:rtl/>
        </w:rPr>
        <w:t>ادامه مرحله أوّل و دوم</w:t>
      </w:r>
      <w:bookmarkEnd w:id="11"/>
      <w:bookmarkEnd w:id="12"/>
    </w:p>
    <w:p w:rsidR="009469C9" w:rsidRDefault="009469C9" w:rsidP="009469C9">
      <w:pPr>
        <w:rPr>
          <w:rtl/>
        </w:rPr>
      </w:pPr>
      <w:r>
        <w:rPr>
          <w:rFonts w:hint="cs"/>
          <w:rtl/>
        </w:rPr>
        <w:t>بحث در مکروه بیست و یکم بود، که مرحوم سیّد در چند مرحله بحث کرده است. مرحله اُولی این بود که می</w:t>
      </w:r>
      <w:r>
        <w:rPr>
          <w:rtl/>
        </w:rPr>
        <w:softHyphen/>
      </w:r>
      <w:r>
        <w:rPr>
          <w:rFonts w:hint="cs"/>
          <w:rtl/>
        </w:rPr>
        <w:t>خواهند میّت را از بلدی به بلد آخری نقل بدهند؛ که بحث کردیم اصل جوازش مشکلی ندارد. اما اینکه آیا کراهتش ثابت است یا نه، عرض کردیم اینجا دو صورت دارد؛ تارةً اینکه نقل می</w:t>
      </w:r>
      <w:r>
        <w:rPr>
          <w:rtl/>
        </w:rPr>
        <w:softHyphen/>
      </w:r>
      <w:r>
        <w:rPr>
          <w:rFonts w:hint="cs"/>
          <w:rtl/>
        </w:rPr>
        <w:t>دهند، منافات با تعجیل در تجهیز دارد؛ مدتی طول می</w:t>
      </w:r>
      <w:r>
        <w:rPr>
          <w:rtl/>
        </w:rPr>
        <w:softHyphen/>
      </w:r>
      <w:r>
        <w:rPr>
          <w:rFonts w:hint="cs"/>
          <w:rtl/>
        </w:rPr>
        <w:t>کشد. در بلد خودش الآن دفنش می</w:t>
      </w:r>
      <w:r>
        <w:rPr>
          <w:rtl/>
        </w:rPr>
        <w:softHyphen/>
      </w:r>
      <w:r>
        <w:rPr>
          <w:rFonts w:hint="cs"/>
          <w:rtl/>
        </w:rPr>
        <w:t>کنند، و اگر بنا باشد که او را به بلد آخری ببرند، طول می</w:t>
      </w:r>
      <w:r>
        <w:rPr>
          <w:rtl/>
        </w:rPr>
        <w:softHyphen/>
      </w:r>
      <w:r>
        <w:rPr>
          <w:rFonts w:hint="cs"/>
          <w:rtl/>
        </w:rPr>
        <w:t>کشد. و اُخری منافاتی با تعجیل ندارد. مثلاً در بلد موت، بخاطر کارهای اداری، دفن او تا فردا طول می</w:t>
      </w:r>
      <w:r>
        <w:rPr>
          <w:rtl/>
        </w:rPr>
        <w:softHyphen/>
      </w:r>
      <w:r>
        <w:rPr>
          <w:rFonts w:hint="cs"/>
          <w:rtl/>
        </w:rPr>
        <w:t>کشد، ولی در روستا فقط طیّ طریق دارد. که اگر منافات با تعجیل دارد، مزاحم با استحباب  تعجیل است؛ و استحباب تعجیل می</w:t>
      </w:r>
      <w:r>
        <w:rPr>
          <w:rtl/>
        </w:rPr>
        <w:softHyphen/>
      </w:r>
      <w:r>
        <w:rPr>
          <w:rFonts w:hint="cs"/>
          <w:rtl/>
        </w:rPr>
        <w:t>گوید همین جا دفنش بکنند. که قدیمی</w:t>
      </w:r>
      <w:r>
        <w:rPr>
          <w:rtl/>
        </w:rPr>
        <w:softHyphen/>
      </w:r>
      <w:r>
        <w:rPr>
          <w:rFonts w:hint="cs"/>
          <w:rtl/>
        </w:rPr>
        <w:t>ها می</w:t>
      </w:r>
      <w:r>
        <w:rPr>
          <w:rtl/>
        </w:rPr>
        <w:softHyphen/>
      </w:r>
      <w:r>
        <w:rPr>
          <w:rFonts w:hint="cs"/>
          <w:rtl/>
        </w:rPr>
        <w:t>گفتند پس مکروه است؛ حال تعجیل را از روایات خاصّه بفهمیم، یا از دلیل عام «سارعوا إلی مغفرة من ربکم» بفهمیم.</w:t>
      </w:r>
    </w:p>
    <w:p w:rsidR="009469C9" w:rsidRPr="003912E6" w:rsidRDefault="009469C9" w:rsidP="009469C9">
      <w:pPr>
        <w:rPr>
          <w:rtl/>
        </w:rPr>
      </w:pPr>
      <w:r>
        <w:rPr>
          <w:rFonts w:hint="cs"/>
          <w:rtl/>
        </w:rPr>
        <w:t xml:space="preserve">اما اگر با تعجیل منافات ندارد، آیا کراهت دارد یا ندارد؛ ادّعای اجماع شده که نقل از بلدی به بلدی، مکروه است. که به </w:t>
      </w:r>
      <w:r w:rsidRPr="003912E6">
        <w:rPr>
          <w:rFonts w:hint="cs"/>
          <w:rtl/>
        </w:rPr>
        <w:t>احتمال زیاد دلیلشان همان امر به تعجیل بوده است؛ و نمی</w:t>
      </w:r>
      <w:r w:rsidRPr="003912E6">
        <w:rPr>
          <w:rtl/>
        </w:rPr>
        <w:softHyphen/>
      </w:r>
      <w:r w:rsidRPr="003912E6">
        <w:rPr>
          <w:rFonts w:hint="cs"/>
          <w:rtl/>
        </w:rPr>
        <w:t>شود به این اجماع، اعتماد کرد. و لکن راهی که ما می</w:t>
      </w:r>
      <w:r w:rsidRPr="003912E6">
        <w:rPr>
          <w:rtl/>
        </w:rPr>
        <w:softHyphen/>
      </w:r>
      <w:r w:rsidRPr="003912E6">
        <w:rPr>
          <w:rFonts w:hint="cs"/>
          <w:rtl/>
        </w:rPr>
        <w:t>رویم و به آن استناد می</w:t>
      </w:r>
      <w:r w:rsidRPr="003912E6">
        <w:rPr>
          <w:rtl/>
        </w:rPr>
        <w:softHyphen/>
      </w:r>
      <w:r w:rsidRPr="003912E6">
        <w:rPr>
          <w:rFonts w:hint="cs"/>
          <w:rtl/>
        </w:rPr>
        <w:t>کنیم چه در این فرض و چه در فرض قبلی و حکم می</w:t>
      </w:r>
      <w:r w:rsidRPr="003912E6">
        <w:rPr>
          <w:rtl/>
        </w:rPr>
        <w:softHyphen/>
      </w:r>
      <w:r w:rsidRPr="003912E6">
        <w:rPr>
          <w:rFonts w:hint="cs"/>
          <w:rtl/>
        </w:rPr>
        <w:t>کنیم که نقل مکروه است؛ استناد می</w:t>
      </w:r>
      <w:r w:rsidRPr="003912E6">
        <w:rPr>
          <w:rtl/>
        </w:rPr>
        <w:softHyphen/>
      </w:r>
      <w:r w:rsidRPr="003912E6">
        <w:rPr>
          <w:rFonts w:hint="cs"/>
          <w:rtl/>
        </w:rPr>
        <w:t>کنیم به روایت دعائم</w:t>
      </w:r>
      <w:r>
        <w:rPr>
          <w:rFonts w:hint="cs"/>
          <w:rtl/>
        </w:rPr>
        <w:t xml:space="preserve"> که نهی از نقل داشت؛ که این نهی</w:t>
      </w:r>
      <w:r>
        <w:rPr>
          <w:rtl/>
        </w:rPr>
        <w:softHyphen/>
      </w:r>
      <w:r>
        <w:rPr>
          <w:rFonts w:hint="cs"/>
          <w:rtl/>
        </w:rPr>
        <w:t>ها تنزیهی است؛ و ضعف سندش هم منجبر به عمل اصحاب است. این مضمون، مشتهَر بین اصحاب است. مرحوم صاحب جواهر از سابقی</w:t>
      </w:r>
      <w:r>
        <w:rPr>
          <w:rtl/>
        </w:rPr>
        <w:softHyphen/>
      </w:r>
      <w:r>
        <w:rPr>
          <w:rFonts w:hint="cs"/>
          <w:rtl/>
        </w:rPr>
        <w:t>ها هم نقل کرده است. از این باب می</w:t>
      </w:r>
      <w:r>
        <w:rPr>
          <w:rtl/>
        </w:rPr>
        <w:softHyphen/>
      </w:r>
      <w:r>
        <w:rPr>
          <w:rFonts w:hint="cs"/>
          <w:rtl/>
        </w:rPr>
        <w:t xml:space="preserve">گوئیم فرمایش مرحوم سیّد که گفته کراهت دارد؛ تمام است. اینکه استناد علماء به این روایت دعائم بوده است، خیلی صاف نیست؛ و لو ظاهر کلام مثل مرحوم شهید این است که استناد به </w:t>
      </w:r>
      <w:r w:rsidRPr="003912E6">
        <w:rPr>
          <w:rFonts w:hint="cs"/>
          <w:rtl/>
        </w:rPr>
        <w:t xml:space="preserve">همین روایت دعائم کرده است، که بین شهید و غیر شهید فرق گذاشته است؛ ولی همین مقدار که لا </w:t>
      </w:r>
      <w:r w:rsidRPr="003912E6">
        <w:rPr>
          <w:rFonts w:hint="cs"/>
          <w:rtl/>
        </w:rPr>
        <w:lastRenderedPageBreak/>
        <w:t>خلاف در اینکه کراهت هست، برای کراهت کفایت می</w:t>
      </w:r>
      <w:r w:rsidRPr="003912E6">
        <w:rPr>
          <w:rFonts w:hint="cs"/>
          <w:rtl/>
        </w:rPr>
        <w:softHyphen/>
        <w:t>کند. اجماع داریم و لا خلاف داریم و روایت دعائم را هم داریم که برای کراهت، کافی است.</w:t>
      </w:r>
    </w:p>
    <w:p w:rsidR="009469C9" w:rsidRDefault="009469C9" w:rsidP="009469C9">
      <w:pPr>
        <w:rPr>
          <w:rtl/>
        </w:rPr>
      </w:pPr>
      <w:r>
        <w:rPr>
          <w:rFonts w:hint="cs"/>
          <w:rtl/>
        </w:rPr>
        <w:t>مرحله دوم نقل به مشاهد مشرّفه است، آنهم فی الجمله. اینکه نقل من بلد إلی المشاهد المشرفه؛ کراهت ندارد، لا یبعد که در اینجا کراهت مرتفع باشد چون عمده مستند ما برای کراهت، اجماع و لا خلاف بود، و همان</w:t>
      </w:r>
      <w:r>
        <w:rPr>
          <w:rtl/>
        </w:rPr>
        <w:softHyphen/>
      </w:r>
      <w:r>
        <w:rPr>
          <w:rFonts w:hint="cs"/>
          <w:rtl/>
        </w:rPr>
        <w:t>هائی که گفته</w:t>
      </w:r>
      <w:r>
        <w:rPr>
          <w:rtl/>
        </w:rPr>
        <w:softHyphen/>
      </w:r>
      <w:r>
        <w:rPr>
          <w:rFonts w:hint="cs"/>
          <w:rtl/>
        </w:rPr>
        <w:t>اند کراهت دارد، نسبت به مشاهد، استثناء زده</w:t>
      </w:r>
      <w:r>
        <w:rPr>
          <w:rtl/>
        </w:rPr>
        <w:softHyphen/>
      </w:r>
      <w:r>
        <w:rPr>
          <w:rFonts w:hint="cs"/>
          <w:rtl/>
        </w:rPr>
        <w:t>اند؛ و روایت دعائم را هم اگر قبول بکنیم، در آن هم «إلّا المشاهد المشرفه» دارد. که اینجا هم دو صورت دارد، تارةً منافات با تعجیل ندارد، چون روایات کثیره داریم که دفن در آنها، مطلوب است؛ که برای تحصیل آن مطلوب، او را نقل می</w:t>
      </w:r>
      <w:r>
        <w:rPr>
          <w:rtl/>
        </w:rPr>
        <w:softHyphen/>
      </w:r>
      <w:r>
        <w:rPr>
          <w:rFonts w:hint="cs"/>
          <w:rtl/>
        </w:rPr>
        <w:t>دهیم. اما در جائی که نقل من بلد إلی المشاهد، مستلزم تأخیر است، و منافات با تعجیل دارد، اینجا آیا می</w:t>
      </w:r>
      <w:r>
        <w:rPr>
          <w:rtl/>
        </w:rPr>
        <w:softHyphen/>
      </w:r>
      <w:r>
        <w:rPr>
          <w:rFonts w:hint="cs"/>
          <w:rtl/>
        </w:rPr>
        <w:t>توانیم بگوئیم خلاف تعجیل است یا نه. که گفتیم خلاف امر به تعجیل است؛ و لکن تصحیحش می</w:t>
      </w:r>
      <w:r>
        <w:rPr>
          <w:rtl/>
        </w:rPr>
        <w:softHyphen/>
      </w:r>
      <w:r>
        <w:rPr>
          <w:rFonts w:hint="cs"/>
          <w:rtl/>
        </w:rPr>
        <w:t>کنیم. در اینجا که می</w:t>
      </w:r>
      <w:r>
        <w:rPr>
          <w:rtl/>
        </w:rPr>
        <w:softHyphen/>
      </w:r>
      <w:r>
        <w:rPr>
          <w:rFonts w:hint="cs"/>
          <w:rtl/>
        </w:rPr>
        <w:t>خواهیم نقل بدهیم باب تزاحم دو مستحب و دو مطلوب است؛ یک مطلوب این است که تجهیز بکنید، و میّت را زودتر به مضاجع و جایگاه أبدیش ببرید؛ که ظاهر امرش استحبابی است؛ و می</w:t>
      </w:r>
      <w:r>
        <w:rPr>
          <w:rtl/>
        </w:rPr>
        <w:softHyphen/>
      </w:r>
      <w:r>
        <w:rPr>
          <w:rFonts w:hint="cs"/>
          <w:rtl/>
        </w:rPr>
        <w:t xml:space="preserve">گوئیم این جور امرها از اول ظهور در وجوب ندارند؛ از آن طرف هم امر داریم که دفن </w:t>
      </w:r>
      <w:r w:rsidR="00531B4A">
        <w:rPr>
          <w:rFonts w:hint="cs"/>
          <w:rtl/>
        </w:rPr>
        <w:t>در کنار آنها مطلوب است؛ و اطلاق</w:t>
      </w:r>
      <w:r>
        <w:rPr>
          <w:rFonts w:hint="cs"/>
          <w:rtl/>
        </w:rPr>
        <w:t xml:space="preserve"> دارد؛ که این دو با هم تزاحم می</w:t>
      </w:r>
      <w:r>
        <w:rPr>
          <w:rtl/>
        </w:rPr>
        <w:softHyphen/>
      </w:r>
      <w:r>
        <w:rPr>
          <w:rFonts w:hint="cs"/>
          <w:rtl/>
        </w:rPr>
        <w:t>کنند. در این تزاحم، کدام یک مقدّم است، در جواهر و معتبر محقّق و کلام دیگران إدّعا شده که روش شیعه بر این بوده که من غیر نکیر و منکر که امواتشان را از راه</w:t>
      </w:r>
      <w:r>
        <w:rPr>
          <w:rtl/>
        </w:rPr>
        <w:softHyphen/>
      </w:r>
      <w:r>
        <w:rPr>
          <w:rFonts w:hint="cs"/>
          <w:rtl/>
        </w:rPr>
        <w:t>های در به مشاهد مشرفه می</w:t>
      </w:r>
      <w:r>
        <w:rPr>
          <w:rtl/>
        </w:rPr>
        <w:softHyphen/>
      </w:r>
      <w:r>
        <w:rPr>
          <w:rFonts w:hint="cs"/>
          <w:rtl/>
        </w:rPr>
        <w:t>برند؛ و ارتکازشان بر این بوده که محبوبیّت دارد. با اینکه منافات با تعجیل دارد. لا أقل این رواش بین شیعه که متّصل به اصحاب معصومین بوده</w:t>
      </w:r>
      <w:r>
        <w:rPr>
          <w:rtl/>
        </w:rPr>
        <w:softHyphen/>
      </w:r>
      <w:r>
        <w:rPr>
          <w:rFonts w:hint="cs"/>
          <w:rtl/>
        </w:rPr>
        <w:t>اند؛ مرسوم بوده است. این است که اگر کسی ادّعا بکند در اینجا استحباب تعجیل، مغلوب استحباب هم</w:t>
      </w:r>
      <w:r>
        <w:rPr>
          <w:rtl/>
        </w:rPr>
        <w:softHyphen/>
      </w:r>
      <w:r>
        <w:rPr>
          <w:rFonts w:hint="cs"/>
          <w:rtl/>
        </w:rPr>
        <w:t>جواری آنهاست؛ یا لا أقل احتمال أهمیّت در هم</w:t>
      </w:r>
      <w:r>
        <w:rPr>
          <w:rtl/>
        </w:rPr>
        <w:softHyphen/>
      </w:r>
      <w:r>
        <w:rPr>
          <w:rFonts w:hint="cs"/>
          <w:rtl/>
        </w:rPr>
        <w:t>جواری بیشتر است؛ ولی اینجا أصلح است. این است که اگر بگوئیم نقل به مشاهد مشرفه، مطلوبیّت دارد و بهتر است؛ بعید نیست. البته علماء دو قسم هستند، بعضی گفته</w:t>
      </w:r>
      <w:r>
        <w:rPr>
          <w:rtl/>
        </w:rPr>
        <w:softHyphen/>
      </w:r>
      <w:r>
        <w:rPr>
          <w:rFonts w:hint="cs"/>
          <w:rtl/>
        </w:rPr>
        <w:t>اند المشاهد المشرّفه و فقط رفع کراهت کرده</w:t>
      </w:r>
      <w:r>
        <w:rPr>
          <w:rtl/>
        </w:rPr>
        <w:softHyphen/>
      </w:r>
      <w:r>
        <w:rPr>
          <w:rFonts w:hint="cs"/>
          <w:rtl/>
        </w:rPr>
        <w:t>اند؛ و بعضی هم گفته</w:t>
      </w:r>
      <w:r>
        <w:rPr>
          <w:rtl/>
        </w:rPr>
        <w:softHyphen/>
      </w:r>
      <w:r>
        <w:rPr>
          <w:rFonts w:hint="cs"/>
          <w:rtl/>
        </w:rPr>
        <w:t>اند که استحباب دارد؛ که استحبابش بعید نیست</w:t>
      </w:r>
      <w:r w:rsidRPr="003912E6">
        <w:rPr>
          <w:rFonts w:hint="cs"/>
          <w:rtl/>
        </w:rPr>
        <w:t xml:space="preserve">. البته آن روایت یمانی و روایت نقل من عرفات إلی الحرم هم بود که به عنوان مؤیّد عیبی ندارد. </w:t>
      </w:r>
      <w:r>
        <w:rPr>
          <w:rFonts w:hint="cs"/>
          <w:rtl/>
        </w:rPr>
        <w:t xml:space="preserve">نقل به مشاهد مشرّفه، </w:t>
      </w:r>
      <w:r w:rsidRPr="003912E6">
        <w:rPr>
          <w:rFonts w:hint="cs"/>
          <w:rtl/>
        </w:rPr>
        <w:t>قطع</w:t>
      </w:r>
      <w:r>
        <w:rPr>
          <w:rFonts w:hint="cs"/>
          <w:rtl/>
        </w:rPr>
        <w:t>اً کراهت ندارد، و لا یبعد که استحباب هم داشته باشد.</w:t>
      </w:r>
    </w:p>
    <w:p w:rsidR="009469C9" w:rsidRDefault="009469C9" w:rsidP="009469C9">
      <w:pPr>
        <w:rPr>
          <w:rtl/>
        </w:rPr>
      </w:pPr>
      <w:r>
        <w:rPr>
          <w:rFonts w:hint="cs"/>
          <w:rtl/>
        </w:rPr>
        <w:t>مرحوم خوئی در اینجا فرموده که در غیر مشاهد با توجه به «سارعوا» می</w:t>
      </w:r>
      <w:r>
        <w:rPr>
          <w:rtl/>
        </w:rPr>
        <w:softHyphen/>
      </w:r>
      <w:r>
        <w:rPr>
          <w:rFonts w:hint="cs"/>
          <w:rtl/>
        </w:rPr>
        <w:t>گوئیم که نقل مکروه است؛ ولی اینجا «سارعوا» بالعکس است. ایشان دلیل را «سارعوا» می</w:t>
      </w:r>
      <w:r>
        <w:rPr>
          <w:rtl/>
        </w:rPr>
        <w:softHyphen/>
      </w:r>
      <w:r>
        <w:rPr>
          <w:rFonts w:hint="cs"/>
          <w:rtl/>
        </w:rPr>
        <w:t>داند. روایات تعجیل را قبول ندارد؛ و می</w:t>
      </w:r>
      <w:r>
        <w:rPr>
          <w:rtl/>
        </w:rPr>
        <w:softHyphen/>
      </w:r>
      <w:r>
        <w:rPr>
          <w:rFonts w:hint="cs"/>
          <w:rtl/>
        </w:rPr>
        <w:t>گوید ضعیف السند هستند.</w:t>
      </w:r>
    </w:p>
    <w:p w:rsidR="009469C9" w:rsidRDefault="009469C9" w:rsidP="009469C9">
      <w:pPr>
        <w:rPr>
          <w:rtl/>
        </w:rPr>
      </w:pPr>
      <w:r w:rsidRPr="00B469E3">
        <w:rPr>
          <w:rFonts w:hint="cs"/>
          <w:rtl/>
        </w:rPr>
        <w:t>لکن ما استدلال به «سارعوا» را مثل روایات قبول نداریم؛ چون لا أقل یک مصداق سارعوا این است که امتثال واجب را بکنند؛ و امتثالش به این</w:t>
      </w:r>
      <w:r>
        <w:rPr>
          <w:rFonts w:hint="cs"/>
          <w:rtl/>
        </w:rPr>
        <w:t xml:space="preserve"> است که زودتر دفن شود. فوقش این است که «سارعوا» دو مصداق دارد؛ اما اینکه فقط مصداقش، نقل باشد، اینگونه نیست. از «سارعوا» استحباب نقل استفاده نمی</w:t>
      </w:r>
      <w:r>
        <w:rPr>
          <w:rtl/>
        </w:rPr>
        <w:softHyphen/>
      </w:r>
      <w:r>
        <w:rPr>
          <w:rFonts w:hint="cs"/>
          <w:rtl/>
        </w:rPr>
        <w:t xml:space="preserve">شود. اگر به ذهن نزند که «سارعوا» مربوط به تکلیف خودشان </w:t>
      </w:r>
      <w:r>
        <w:rPr>
          <w:rFonts w:hint="cs"/>
          <w:rtl/>
        </w:rPr>
        <w:lastRenderedPageBreak/>
        <w:t>است؛ و می</w:t>
      </w:r>
      <w:r>
        <w:rPr>
          <w:rtl/>
        </w:rPr>
        <w:softHyphen/>
      </w:r>
      <w:r>
        <w:rPr>
          <w:rFonts w:hint="cs"/>
          <w:rtl/>
        </w:rPr>
        <w:t xml:space="preserve">گوید زودتر دفنش بکنید؛ لا أقل دلالت بر این ندارد که او را به مشاهد نقل بدهید. ظاهرش این نیست که در مغفرت میّت، سرعت بکنید. </w:t>
      </w:r>
    </w:p>
    <w:p w:rsidR="009469C9" w:rsidRDefault="009469C9" w:rsidP="009469C9">
      <w:pPr>
        <w:pStyle w:val="Heading3"/>
        <w:rPr>
          <w:rtl/>
        </w:rPr>
      </w:pPr>
      <w:bookmarkStart w:id="13" w:name="_Toc34245571"/>
      <w:bookmarkStart w:id="14" w:name="_Toc34246102"/>
      <w:r>
        <w:rPr>
          <w:rFonts w:hint="cs"/>
          <w:rtl/>
        </w:rPr>
        <w:t>مرحله سوم: بررسی قیود نقل به مشاهد مشرفه</w:t>
      </w:r>
      <w:bookmarkEnd w:id="13"/>
      <w:bookmarkEnd w:id="14"/>
    </w:p>
    <w:p w:rsidR="009469C9" w:rsidRDefault="009469C9" w:rsidP="009469C9">
      <w:pPr>
        <w:rPr>
          <w:rtl/>
        </w:rPr>
      </w:pPr>
      <w:r>
        <w:rPr>
          <w:rFonts w:hint="cs"/>
          <w:rtl/>
        </w:rPr>
        <w:t>مرحله سوم هم این است که می</w:t>
      </w:r>
      <w:r>
        <w:rPr>
          <w:rtl/>
        </w:rPr>
        <w:softHyphen/>
      </w:r>
      <w:r>
        <w:rPr>
          <w:rFonts w:hint="cs"/>
          <w:rtl/>
        </w:rPr>
        <w:t>خواهیم نقل بدهیم به مشاهد مشرّفه، آیا رفع کراهت یا استحباب مطلقاً است؛ یا مقیّد به قیودی است؟</w:t>
      </w:r>
    </w:p>
    <w:p w:rsidR="009469C9" w:rsidRDefault="009469C9" w:rsidP="009469C9">
      <w:pPr>
        <w:rPr>
          <w:rtl/>
        </w:rPr>
      </w:pPr>
      <w:r>
        <w:rPr>
          <w:rFonts w:hint="cs"/>
          <w:rtl/>
        </w:rPr>
        <w:t>در اینجا سه قید، محل بحث واقع شده است. یک قیدش این است که نقل به مشاهد، مستلزم این است که میّت را تقطیع بکنیم. قید دوم این است که نقل به مشاهد، مستلزم این است که فساد بگیرد. و قید سوم این است که نقل به مشاهد، مستلزم نبش قبر است. آیا من جمیع هذه القیود الثلاثه، مطلق است؛ یا اینکه مقیّد به بعضی دون بعض است؟</w:t>
      </w:r>
    </w:p>
    <w:p w:rsidR="009469C9" w:rsidRDefault="009469C9" w:rsidP="009469C9">
      <w:pPr>
        <w:pStyle w:val="Heading4"/>
        <w:rPr>
          <w:rtl/>
        </w:rPr>
      </w:pPr>
      <w:bookmarkStart w:id="15" w:name="_Toc34245572"/>
      <w:bookmarkStart w:id="16" w:name="_Toc34246103"/>
      <w:r>
        <w:rPr>
          <w:rFonts w:hint="cs"/>
          <w:rtl/>
        </w:rPr>
        <w:t>قید أوّل: نقل مستلزم تقطیع باشد</w:t>
      </w:r>
      <w:bookmarkEnd w:id="15"/>
      <w:bookmarkEnd w:id="16"/>
    </w:p>
    <w:p w:rsidR="009469C9" w:rsidRDefault="009469C9" w:rsidP="009469C9">
      <w:pPr>
        <w:rPr>
          <w:rtl/>
        </w:rPr>
      </w:pPr>
      <w:r>
        <w:rPr>
          <w:rFonts w:hint="cs"/>
          <w:rtl/>
        </w:rPr>
        <w:t xml:space="preserve">مرحوم کاشف الغطاء فرموده این استحباب، مطلق است. و لو مستلزم تقطیع و مُثله کردن میّت بشود. </w:t>
      </w:r>
      <w:r w:rsidRPr="00306AB8">
        <w:rPr>
          <w:rFonts w:hint="cs"/>
          <w:rtl/>
        </w:rPr>
        <w:t>همانطور که مرحوم صاحب جواهر</w:t>
      </w:r>
      <w:r w:rsidRPr="00306AB8">
        <w:rPr>
          <w:rStyle w:val="FootnoteReference"/>
          <w:rFonts w:ascii="Noor_Lotus" w:hAnsi="Noor_Lotus" w:cs="B Lotus"/>
          <w:sz w:val="28"/>
          <w:rtl/>
        </w:rPr>
        <w:footnoteReference w:id="1"/>
      </w:r>
      <w:r w:rsidRPr="00306AB8">
        <w:rPr>
          <w:rFonts w:hint="cs"/>
          <w:rtl/>
        </w:rPr>
        <w:t xml:space="preserve"> فرموده ظاهر کلمات علماء این است که مقیّد است به لم یستلزم الجنایه علی المیّت. خلافاً للإستاذ المعتبر الشیخ</w:t>
      </w:r>
      <w:r>
        <w:rPr>
          <w:rFonts w:hint="cs"/>
          <w:rtl/>
        </w:rPr>
        <w:t xml:space="preserve"> جعفر. در ذهن مبارک مرحوم کاشف این بوده اینکه می</w:t>
      </w:r>
      <w:r>
        <w:rPr>
          <w:rtl/>
        </w:rPr>
        <w:softHyphen/>
      </w:r>
      <w:r>
        <w:rPr>
          <w:rFonts w:hint="cs"/>
          <w:rtl/>
        </w:rPr>
        <w:t>گویند نمی</w:t>
      </w:r>
      <w:r>
        <w:rPr>
          <w:rtl/>
        </w:rPr>
        <w:softHyphen/>
      </w:r>
      <w:r>
        <w:rPr>
          <w:rFonts w:hint="cs"/>
          <w:rtl/>
        </w:rPr>
        <w:t>شود میّت را نقل داد، از باب هتک است، و در اینجا هتک میّت نیست. چه طور در زمان حیات، بخاطر جهت دنیوی می</w:t>
      </w:r>
      <w:r>
        <w:rPr>
          <w:rtl/>
        </w:rPr>
        <w:softHyphen/>
      </w:r>
      <w:r>
        <w:rPr>
          <w:rFonts w:hint="cs"/>
          <w:rtl/>
        </w:rPr>
        <w:t>شود بدن او را قطع کرد، اینجا به جهت اُخری است.</w:t>
      </w:r>
    </w:p>
    <w:p w:rsidR="009469C9" w:rsidRDefault="009469C9" w:rsidP="009469C9">
      <w:pPr>
        <w:rPr>
          <w:rtl/>
        </w:rPr>
      </w:pPr>
      <w:r>
        <w:rPr>
          <w:rFonts w:hint="cs"/>
          <w:rtl/>
        </w:rPr>
        <w:t>بعدی</w:t>
      </w:r>
      <w:r>
        <w:rPr>
          <w:rtl/>
        </w:rPr>
        <w:softHyphen/>
      </w:r>
      <w:r>
        <w:rPr>
          <w:rFonts w:hint="cs"/>
          <w:rtl/>
        </w:rPr>
        <w:t>ها ادلّه</w:t>
      </w:r>
      <w:r>
        <w:rPr>
          <w:rtl/>
        </w:rPr>
        <w:softHyphen/>
      </w:r>
      <w:r>
        <w:rPr>
          <w:rFonts w:hint="cs"/>
          <w:rtl/>
        </w:rPr>
        <w:t>ای را برایش نقل کرده</w:t>
      </w:r>
      <w:r>
        <w:rPr>
          <w:rtl/>
        </w:rPr>
        <w:softHyphen/>
      </w:r>
      <w:r>
        <w:rPr>
          <w:rFonts w:hint="cs"/>
          <w:rtl/>
        </w:rPr>
        <w:t>اند، چهار وجه نقل شده است. وجه اول اصالة الجواز است. وجه دوم اطلاق کلمات اصحاب است، که گفته</w:t>
      </w:r>
      <w:r>
        <w:rPr>
          <w:rtl/>
        </w:rPr>
        <w:softHyphen/>
      </w:r>
      <w:r>
        <w:rPr>
          <w:rFonts w:hint="cs"/>
          <w:rtl/>
        </w:rPr>
        <w:t>اند نقل میّت، کراهت دارد، إلّا إلی المشاهد المشرّفه، که این استثناء، اطلاق دارد، و لو بالتّقطیع. وجه سوم هم جهت احترام میّت است، که نقل میّت به جای که امید این است که از عذاب آخرت نجات پیدا بکند، یک نوع احترام گذاشتن به میّت است.</w:t>
      </w:r>
    </w:p>
    <w:p w:rsidR="009469C9" w:rsidRDefault="009469C9" w:rsidP="009469C9">
      <w:pPr>
        <w:rPr>
          <w:rtl/>
        </w:rPr>
      </w:pPr>
      <w:r w:rsidRPr="00B469E3">
        <w:rPr>
          <w:rFonts w:hint="cs"/>
          <w:rtl/>
        </w:rPr>
        <w:t>مرحوم خوئی فرموده</w:t>
      </w:r>
      <w:r>
        <w:rPr>
          <w:rFonts w:hint="cs"/>
          <w:rtl/>
        </w:rPr>
        <w:t xml:space="preserve"> «و استدل علی ذلک بوجوه»</w:t>
      </w:r>
      <w:r>
        <w:rPr>
          <w:rStyle w:val="FootnoteReference"/>
          <w:rFonts w:ascii="Noor_Lotus" w:hAnsi="Noor_Lotus" w:cs="B Lotus"/>
          <w:sz w:val="28"/>
          <w:rtl/>
        </w:rPr>
        <w:footnoteReference w:id="2"/>
      </w:r>
      <w:r>
        <w:rPr>
          <w:rFonts w:hint="cs"/>
          <w:rtl/>
        </w:rPr>
        <w:t xml:space="preserve"> که به ذهن می</w:t>
      </w:r>
      <w:r>
        <w:rPr>
          <w:rtl/>
        </w:rPr>
        <w:softHyphen/>
      </w:r>
      <w:r>
        <w:rPr>
          <w:rFonts w:hint="cs"/>
          <w:rtl/>
        </w:rPr>
        <w:t>زند خود آشیخ جعفر اینگونه استدلال کرده است؛ و در کلام صاحب جواهر «و استدل له» دارد؛</w:t>
      </w:r>
      <w:r>
        <w:rPr>
          <w:rStyle w:val="FootnoteReference"/>
          <w:rFonts w:ascii="Noor_Lotus" w:hAnsi="Noor_Lotus" w:cs="B Lotus"/>
          <w:sz w:val="28"/>
          <w:rtl/>
        </w:rPr>
        <w:footnoteReference w:id="3"/>
      </w:r>
      <w:r>
        <w:rPr>
          <w:rFonts w:hint="cs"/>
          <w:rtl/>
        </w:rPr>
        <w:t xml:space="preserve"> که عبارت ایشان بهتر است؛ چون این وجوه را دیگران آورده</w:t>
      </w:r>
      <w:r>
        <w:rPr>
          <w:rtl/>
        </w:rPr>
        <w:softHyphen/>
      </w:r>
      <w:r>
        <w:rPr>
          <w:rFonts w:hint="cs"/>
          <w:rtl/>
        </w:rPr>
        <w:t>اند. وجه چهارم: قضیّه یمانی که با نقل، جنازه پد</w:t>
      </w:r>
      <w:r w:rsidR="00531B4A">
        <w:rPr>
          <w:rFonts w:hint="cs"/>
          <w:rtl/>
        </w:rPr>
        <w:t>ر</w:t>
      </w:r>
      <w:bookmarkStart w:id="17" w:name="_GoBack"/>
      <w:bookmarkEnd w:id="17"/>
      <w:r>
        <w:rPr>
          <w:rFonts w:hint="cs"/>
          <w:rtl/>
        </w:rPr>
        <w:t>ش ریز ریز شده است.</w:t>
      </w:r>
    </w:p>
    <w:p w:rsidR="009469C9" w:rsidRPr="0019551E" w:rsidRDefault="009469C9" w:rsidP="009469C9">
      <w:pPr>
        <w:rPr>
          <w:rFonts w:ascii="Noor_Titr" w:hAnsi="Noor_Titr" w:cs="Noor_Titr"/>
          <w:color w:val="286564"/>
          <w:sz w:val="27"/>
          <w:szCs w:val="27"/>
          <w:rtl/>
        </w:rPr>
      </w:pPr>
      <w:r>
        <w:rPr>
          <w:rFonts w:hint="cs"/>
          <w:rtl/>
        </w:rPr>
        <w:lastRenderedPageBreak/>
        <w:t>و لکن همانطور که مرحوم صاحب جواهر</w:t>
      </w:r>
      <w:r>
        <w:rPr>
          <w:rStyle w:val="FootnoteReference"/>
          <w:rFonts w:ascii="Noor_Lotus" w:hAnsi="Noor_Lotus" w:cs="B Lotus"/>
          <w:sz w:val="28"/>
          <w:rtl/>
        </w:rPr>
        <w:footnoteReference w:id="4"/>
      </w:r>
      <w:r>
        <w:rPr>
          <w:rFonts w:hint="cs"/>
          <w:rtl/>
        </w:rPr>
        <w:t xml:space="preserve"> و مرحوم همدانی</w:t>
      </w:r>
      <w:r>
        <w:rPr>
          <w:rStyle w:val="FootnoteReference"/>
          <w:rFonts w:ascii="Noor_Lotus" w:hAnsi="Noor_Lotus" w:cs="B Lotus"/>
          <w:sz w:val="28"/>
          <w:rtl/>
        </w:rPr>
        <w:footnoteReference w:id="5"/>
      </w:r>
      <w:r>
        <w:rPr>
          <w:rFonts w:hint="cs"/>
          <w:rtl/>
        </w:rPr>
        <w:t xml:space="preserve"> و مرحوم خوئی فرموده</w:t>
      </w:r>
      <w:r>
        <w:rPr>
          <w:rtl/>
        </w:rPr>
        <w:softHyphen/>
      </w:r>
      <w:r>
        <w:rPr>
          <w:rFonts w:hint="cs"/>
          <w:rtl/>
        </w:rPr>
        <w:t>اند، این وجوه ضعیف است؛ و با مقام کاشف الغطاء سازگاری ندارد که تمسّک به اصاله الجواز کرده باشد؛ چون کسانی که می</w:t>
      </w:r>
      <w:r>
        <w:rPr>
          <w:rtl/>
        </w:rPr>
        <w:softHyphen/>
      </w:r>
      <w:r>
        <w:rPr>
          <w:rFonts w:hint="cs"/>
          <w:rtl/>
        </w:rPr>
        <w:t>گویند نقل جایز نیست، می</w:t>
      </w:r>
      <w:r>
        <w:rPr>
          <w:rtl/>
        </w:rPr>
        <w:softHyphen/>
      </w:r>
      <w:r>
        <w:rPr>
          <w:rFonts w:hint="cs"/>
          <w:rtl/>
        </w:rPr>
        <w:t>گونید مثله کردن میّت حرام است؛ لذا دیه دارد. پس لا مجال برای اصالة الإباحه. کلمات اصحاب هم اطلاق ندارد؛ عبارت آنها این است که نقل از بلدی به بلد دیگر، کراهت دارد؛ إلّ إلی المشاهد المشرّفه. می</w:t>
      </w:r>
      <w:r>
        <w:rPr>
          <w:rtl/>
        </w:rPr>
        <w:softHyphen/>
      </w:r>
      <w:r>
        <w:rPr>
          <w:rFonts w:hint="cs"/>
          <w:rtl/>
        </w:rPr>
        <w:t>گویند مشاهد من حیث النقل، کراهت ندارد. اما اینکه با مثله کردن هم می</w:t>
      </w:r>
      <w:r>
        <w:rPr>
          <w:rtl/>
        </w:rPr>
        <w:softHyphen/>
      </w:r>
      <w:r>
        <w:rPr>
          <w:rFonts w:hint="cs"/>
          <w:rtl/>
        </w:rPr>
        <w:t>شود نقل داد، از این حیث در مقام بیان نیستند. کلمات اصحاب فقط جهت نقل را درست می</w:t>
      </w:r>
      <w:r>
        <w:rPr>
          <w:rtl/>
        </w:rPr>
        <w:softHyphen/>
      </w:r>
      <w:r>
        <w:rPr>
          <w:rFonts w:hint="cs"/>
          <w:rtl/>
        </w:rPr>
        <w:t>کنند. مرحوم خوئی یک عبارتی را آورده است؛ که به ذهن می</w:t>
      </w:r>
      <w:r>
        <w:rPr>
          <w:rtl/>
        </w:rPr>
        <w:softHyphen/>
      </w:r>
      <w:r>
        <w:rPr>
          <w:rFonts w:hint="cs"/>
          <w:rtl/>
        </w:rPr>
        <w:t xml:space="preserve">زند این جوری نیست. ایشان فرموده </w:t>
      </w:r>
      <w:r w:rsidRPr="00603096">
        <w:rPr>
          <w:rFonts w:hint="cs"/>
          <w:rtl/>
        </w:rPr>
        <w:t>«ففيه: أن استثناء المشاهد المشرفة إنما يرجع إلى إفتائهم بكراهة النقل، بمعنى أن النقل مكروه إلّا إذا كان النقل إلى المشاهد المشرفة لا أنه استثناء من حرمة النقل المستلزم للتقطيع الاختياري».</w:t>
      </w:r>
      <w:r w:rsidRPr="00603096">
        <w:rPr>
          <w:rStyle w:val="FootnoteReference"/>
          <w:rFonts w:ascii="Noor_Lotus" w:hAnsi="Noor_Lotus"/>
          <w:sz w:val="28"/>
          <w:rtl/>
        </w:rPr>
        <w:footnoteReference w:id="6"/>
      </w:r>
      <w:r w:rsidRPr="00603096">
        <w:rPr>
          <w:rFonts w:ascii="Noor_Titr" w:hAnsi="Noor_Titr" w:hint="cs"/>
          <w:rtl/>
        </w:rPr>
        <w:t xml:space="preserve"> که این عبارت، اشکال دارد؛</w:t>
      </w:r>
      <w:r w:rsidRPr="00603096">
        <w:rPr>
          <w:rFonts w:ascii="Noor_Titr" w:hAnsi="Noor_Titr" w:hint="cs"/>
          <w:color w:val="286564"/>
          <w:sz w:val="27"/>
          <w:szCs w:val="27"/>
          <w:rtl/>
        </w:rPr>
        <w:t xml:space="preserve"> </w:t>
      </w:r>
      <w:r w:rsidRPr="00603096">
        <w:rPr>
          <w:rFonts w:hint="cs"/>
          <w:rtl/>
        </w:rPr>
        <w:t>چون کسانی که استثناء کرده</w:t>
      </w:r>
      <w:r w:rsidRPr="00603096">
        <w:rPr>
          <w:rtl/>
        </w:rPr>
        <w:softHyphen/>
      </w:r>
      <w:r w:rsidRPr="00603096">
        <w:rPr>
          <w:rFonts w:hint="cs"/>
          <w:rtl/>
        </w:rPr>
        <w:t>اند</w:t>
      </w:r>
      <w:r>
        <w:rPr>
          <w:rFonts w:hint="cs"/>
          <w:rtl/>
        </w:rPr>
        <w:t>، از حرمت نقل استثناء نزده</w:t>
      </w:r>
      <w:r>
        <w:rPr>
          <w:rtl/>
        </w:rPr>
        <w:softHyphen/>
      </w:r>
      <w:r>
        <w:rPr>
          <w:rFonts w:hint="cs"/>
          <w:rtl/>
        </w:rPr>
        <w:t>اند. اما روایت یمانی، مرحوم صاحب جواهر در آن، مناقشه کرده است؛ و قبلاً هم گفتیم از این روایت استفاده نمی</w:t>
      </w:r>
      <w:r>
        <w:rPr>
          <w:rtl/>
        </w:rPr>
        <w:softHyphen/>
      </w:r>
      <w:r>
        <w:rPr>
          <w:rFonts w:hint="cs"/>
          <w:rtl/>
        </w:rPr>
        <w:t>شود که این کارش درست بوده است؛ بلکه از صدرش که حضرت اعتراض کرده است، معلوم می</w:t>
      </w:r>
      <w:r>
        <w:rPr>
          <w:rFonts w:hint="cs"/>
          <w:rtl/>
        </w:rPr>
        <w:softHyphen/>
        <w:t>شود که درست نبوده است. و بالفرض دلالت بر لا ریب داشته باشد، ولی از این روایت به دست نمی</w:t>
      </w:r>
      <w:r>
        <w:rPr>
          <w:rtl/>
        </w:rPr>
        <w:softHyphen/>
      </w:r>
      <w:r>
        <w:rPr>
          <w:rFonts w:hint="cs"/>
          <w:rtl/>
        </w:rPr>
        <w:t>آید که پدرش را تقطیع کرده است. فوقش این است که فساد پیدا کرده است، که مال قید دوم است. اما وجه چهارم که عمده وجوه در ذهن کاشف الغطاء همین وجه بوده است؛ و در عبارتش هم آمده است که هتک نیست؛ که این هم مشکل است. گرچه آن جور واضح البطلان نیست، ولی مشکل است که این امر استحبابی و امر مطلوب، در مقابل حرام (تقطیع میّت) مقاومت بکند؛ فنّ و قاعده و ظواهر این اجازه را نمی</w:t>
      </w:r>
      <w:r>
        <w:rPr>
          <w:rtl/>
        </w:rPr>
        <w:softHyphen/>
      </w:r>
      <w:r>
        <w:rPr>
          <w:rFonts w:hint="cs"/>
          <w:rtl/>
        </w:rPr>
        <w:t>دهد. حال کسی به این مرتبه برسد که اطلاق آنها را کنار بگذارد، و بگوید که من به مخّ فقه رسیده</w:t>
      </w:r>
      <w:r>
        <w:rPr>
          <w:rFonts w:hint="cs"/>
          <w:rtl/>
        </w:rPr>
        <w:softHyphen/>
        <w:t>ام که عیبی ندارد، ممکن است بگوید که نقل و لو مستلزم تقطیع باشد، مشکلی ندارد.</w:t>
      </w:r>
    </w:p>
    <w:p w:rsidR="00B46ED1" w:rsidRPr="0027114E" w:rsidRDefault="00B46ED1" w:rsidP="009469C9">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68E" w:rsidRDefault="00E1568E" w:rsidP="008B750B">
      <w:pPr>
        <w:spacing w:line="240" w:lineRule="auto"/>
      </w:pPr>
      <w:r>
        <w:separator/>
      </w:r>
    </w:p>
  </w:endnote>
  <w:endnote w:type="continuationSeparator" w:id="0">
    <w:p w:rsidR="00E1568E" w:rsidRDefault="00E1568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31B4A" w:rsidRPr="00531B4A">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68E" w:rsidRDefault="00E1568E" w:rsidP="008B750B">
      <w:pPr>
        <w:spacing w:line="240" w:lineRule="auto"/>
      </w:pPr>
      <w:r>
        <w:separator/>
      </w:r>
    </w:p>
  </w:footnote>
  <w:footnote w:type="continuationSeparator" w:id="0">
    <w:p w:rsidR="00E1568E" w:rsidRDefault="00E1568E" w:rsidP="008B750B">
      <w:pPr>
        <w:spacing w:line="240" w:lineRule="auto"/>
      </w:pPr>
      <w:r>
        <w:continuationSeparator/>
      </w:r>
    </w:p>
  </w:footnote>
  <w:footnote w:id="1">
    <w:p w:rsidR="009469C9" w:rsidRPr="00F67F1B" w:rsidRDefault="009469C9" w:rsidP="009469C9">
      <w:pPr>
        <w:pStyle w:val="NormalWeb"/>
        <w:bidi/>
        <w:spacing w:before="0" w:beforeAutospacing="0" w:after="0" w:afterAutospacing="0"/>
        <w:jc w:val="both"/>
        <w:rPr>
          <w:rFonts w:ascii="Noor_Titr" w:hAnsi="Noor_Titr" w:cs="B Badr"/>
          <w:sz w:val="22"/>
          <w:szCs w:val="22"/>
        </w:rPr>
      </w:pPr>
      <w:r w:rsidRPr="00F67F1B">
        <w:rPr>
          <w:rStyle w:val="FootnoteReference"/>
          <w:rFonts w:cs="B Badr"/>
          <w:sz w:val="22"/>
          <w:szCs w:val="22"/>
        </w:rPr>
        <w:footnoteRef/>
      </w:r>
      <w:r w:rsidRPr="00F67F1B">
        <w:rPr>
          <w:rFonts w:cs="B Badr"/>
          <w:sz w:val="22"/>
          <w:szCs w:val="22"/>
          <w:rtl/>
        </w:rPr>
        <w:t xml:space="preserve"> </w:t>
      </w:r>
      <w:r w:rsidRPr="00F67F1B">
        <w:rPr>
          <w:rFonts w:cs="B Badr" w:hint="cs"/>
          <w:sz w:val="22"/>
          <w:szCs w:val="22"/>
          <w:rtl/>
        </w:rPr>
        <w:t xml:space="preserve">- </w:t>
      </w:r>
      <w:r w:rsidRPr="00F67F1B">
        <w:rPr>
          <w:rFonts w:ascii="Noor_Titr" w:hAnsi="Noor_Titr" w:cs="B Badr" w:hint="cs"/>
          <w:sz w:val="22"/>
          <w:szCs w:val="22"/>
          <w:rtl/>
        </w:rPr>
        <w:t>جواهر الكلام في شرح شرائع الإسلام؛ ج‌4، ص: 348 (</w:t>
      </w:r>
      <w:r w:rsidRPr="00F67F1B">
        <w:rPr>
          <w:rFonts w:ascii="Noor_Lotus" w:hAnsi="Noor_Lotus" w:cs="B Badr" w:hint="cs"/>
          <w:sz w:val="22"/>
          <w:szCs w:val="22"/>
          <w:rtl/>
        </w:rPr>
        <w:t>و لم أعثر على من نص على جواز حمله، إلا أنه كان يفتي به الأستاذ المعتبر الشيخ جعفر تغمده الله برحمته).</w:t>
      </w:r>
    </w:p>
  </w:footnote>
  <w:footnote w:id="2">
    <w:p w:rsidR="009469C9" w:rsidRPr="00F67F1B" w:rsidRDefault="009469C9" w:rsidP="009469C9">
      <w:pPr>
        <w:pStyle w:val="NormalWeb"/>
        <w:bidi/>
        <w:spacing w:before="0" w:beforeAutospacing="0" w:after="0" w:afterAutospacing="0"/>
        <w:jc w:val="both"/>
        <w:rPr>
          <w:rFonts w:ascii="Noor_Titr" w:hAnsi="Noor_Titr" w:cs="B Badr"/>
          <w:sz w:val="22"/>
          <w:szCs w:val="22"/>
        </w:rPr>
      </w:pPr>
      <w:r w:rsidRPr="00F67F1B">
        <w:rPr>
          <w:rStyle w:val="FootnoteReference"/>
          <w:rFonts w:cs="B Badr"/>
          <w:sz w:val="22"/>
          <w:szCs w:val="22"/>
        </w:rPr>
        <w:footnoteRef/>
      </w:r>
      <w:r w:rsidRPr="00F67F1B">
        <w:rPr>
          <w:rFonts w:cs="B Badr"/>
          <w:sz w:val="22"/>
          <w:szCs w:val="22"/>
          <w:rtl/>
        </w:rPr>
        <w:t xml:space="preserve"> </w:t>
      </w:r>
      <w:r w:rsidRPr="00F67F1B">
        <w:rPr>
          <w:rFonts w:cs="B Badr" w:hint="cs"/>
          <w:sz w:val="22"/>
          <w:szCs w:val="22"/>
          <w:rtl/>
        </w:rPr>
        <w:t xml:space="preserve">- </w:t>
      </w:r>
      <w:r w:rsidRPr="00F67F1B">
        <w:rPr>
          <w:rFonts w:ascii="Noor_Titr" w:hAnsi="Noor_Titr" w:cs="B Badr" w:hint="cs"/>
          <w:sz w:val="22"/>
          <w:szCs w:val="22"/>
          <w:rtl/>
        </w:rPr>
        <w:t>موسوعة الإمام الخوئي؛ ج‌9، ص: 334.</w:t>
      </w:r>
    </w:p>
  </w:footnote>
  <w:footnote w:id="3">
    <w:p w:rsidR="009469C9" w:rsidRPr="00F67F1B" w:rsidRDefault="009469C9" w:rsidP="009469C9">
      <w:pPr>
        <w:pStyle w:val="NormalWeb"/>
        <w:bidi/>
        <w:spacing w:before="0" w:beforeAutospacing="0" w:after="0" w:afterAutospacing="0"/>
        <w:jc w:val="both"/>
        <w:rPr>
          <w:rFonts w:ascii="Noor_Titr" w:hAnsi="Noor_Titr" w:cs="B Badr"/>
          <w:sz w:val="22"/>
          <w:szCs w:val="22"/>
        </w:rPr>
      </w:pPr>
      <w:r w:rsidRPr="00F67F1B">
        <w:rPr>
          <w:rStyle w:val="FootnoteReference"/>
          <w:rFonts w:cs="B Badr"/>
          <w:sz w:val="22"/>
          <w:szCs w:val="22"/>
        </w:rPr>
        <w:footnoteRef/>
      </w:r>
      <w:r w:rsidRPr="00F67F1B">
        <w:rPr>
          <w:rFonts w:cs="B Badr"/>
          <w:sz w:val="22"/>
          <w:szCs w:val="22"/>
          <w:rtl/>
        </w:rPr>
        <w:t xml:space="preserve"> </w:t>
      </w:r>
      <w:r w:rsidRPr="00F67F1B">
        <w:rPr>
          <w:rFonts w:cs="B Badr" w:hint="cs"/>
          <w:sz w:val="22"/>
          <w:szCs w:val="22"/>
          <w:rtl/>
        </w:rPr>
        <w:t xml:space="preserve">- </w:t>
      </w:r>
      <w:r w:rsidRPr="00F67F1B">
        <w:rPr>
          <w:rFonts w:ascii="Noor_Titr" w:hAnsi="Noor_Titr" w:cs="B Badr" w:hint="cs"/>
          <w:sz w:val="22"/>
          <w:szCs w:val="22"/>
          <w:rtl/>
        </w:rPr>
        <w:t xml:space="preserve">جواهر الكلام في شرح شرائع الإسلام؛ ج‌4، صص: 349 </w:t>
      </w:r>
      <w:r w:rsidRPr="00F67F1B">
        <w:rPr>
          <w:rFonts w:hint="cs"/>
          <w:sz w:val="22"/>
          <w:szCs w:val="22"/>
          <w:rtl/>
        </w:rPr>
        <w:t>–</w:t>
      </w:r>
      <w:r w:rsidRPr="00F67F1B">
        <w:rPr>
          <w:rFonts w:ascii="Noor_Titr" w:hAnsi="Noor_Titr" w:cs="B Badr" w:hint="cs"/>
          <w:sz w:val="22"/>
          <w:szCs w:val="22"/>
          <w:rtl/>
        </w:rPr>
        <w:t xml:space="preserve"> 348 (</w:t>
      </w:r>
      <w:r w:rsidRPr="00F67F1B">
        <w:rPr>
          <w:rFonts w:ascii="Noor_Lotus" w:hAnsi="Noor_Lotus" w:cs="B Badr" w:hint="cs"/>
          <w:sz w:val="22"/>
          <w:szCs w:val="22"/>
          <w:rtl/>
        </w:rPr>
        <w:t>و قد يستدل له بالأصل أولا و بفحوى خبر اليماني و غيره مما تقدم ثانيا، و بما أشار إليه من الرجحان القطعي العقلي، و بأولويته من النقل بعد الدفن الآتي، و بإطلاق‌ الأصحاب استحباب النقل إلى المشاهد، بل عن الفاضل الميسي أنه صرح بعدم الفرق بين القرب إليها و البعد مع إطلاق الأدلة في الدفن، لحمل ما دل على التعجيل على الاستحباب).</w:t>
      </w:r>
    </w:p>
  </w:footnote>
  <w:footnote w:id="4">
    <w:p w:rsidR="009469C9" w:rsidRPr="00F67F1B" w:rsidRDefault="009469C9" w:rsidP="009469C9">
      <w:pPr>
        <w:pStyle w:val="NormalWeb"/>
        <w:bidi/>
        <w:spacing w:before="0" w:beforeAutospacing="0" w:after="0" w:afterAutospacing="0"/>
        <w:jc w:val="both"/>
        <w:rPr>
          <w:rFonts w:ascii="Noor_Titr" w:hAnsi="Noor_Titr" w:cs="B Badr"/>
          <w:sz w:val="22"/>
          <w:szCs w:val="22"/>
        </w:rPr>
      </w:pPr>
      <w:r w:rsidRPr="00F67F1B">
        <w:rPr>
          <w:rStyle w:val="FootnoteReference"/>
          <w:rFonts w:cs="B Badr"/>
          <w:sz w:val="22"/>
          <w:szCs w:val="22"/>
        </w:rPr>
        <w:footnoteRef/>
      </w:r>
      <w:r w:rsidRPr="00F67F1B">
        <w:rPr>
          <w:rFonts w:cs="B Badr"/>
          <w:sz w:val="22"/>
          <w:szCs w:val="22"/>
          <w:rtl/>
        </w:rPr>
        <w:t xml:space="preserve"> </w:t>
      </w:r>
      <w:r w:rsidRPr="00F67F1B">
        <w:rPr>
          <w:rFonts w:cs="B Badr" w:hint="cs"/>
          <w:sz w:val="22"/>
          <w:szCs w:val="22"/>
          <w:rtl/>
        </w:rPr>
        <w:t xml:space="preserve">- </w:t>
      </w:r>
      <w:r w:rsidRPr="00F67F1B">
        <w:rPr>
          <w:rFonts w:ascii="Noor_Titr" w:hAnsi="Noor_Titr" w:cs="B Badr" w:hint="cs"/>
          <w:sz w:val="22"/>
          <w:szCs w:val="22"/>
          <w:rtl/>
        </w:rPr>
        <w:t xml:space="preserve">جواهر الكلام في شرح شرائع الإسلام؛ ج‌4، صص: 350 </w:t>
      </w:r>
      <w:r w:rsidRPr="00F67F1B">
        <w:rPr>
          <w:rFonts w:hint="cs"/>
          <w:sz w:val="22"/>
          <w:szCs w:val="22"/>
          <w:rtl/>
        </w:rPr>
        <w:t>–</w:t>
      </w:r>
      <w:r w:rsidRPr="00F67F1B">
        <w:rPr>
          <w:rFonts w:ascii="Noor_Titr" w:hAnsi="Noor_Titr" w:cs="B Badr" w:hint="cs"/>
          <w:sz w:val="22"/>
          <w:szCs w:val="22"/>
          <w:rtl/>
        </w:rPr>
        <w:t xml:space="preserve"> 349.</w:t>
      </w:r>
    </w:p>
  </w:footnote>
  <w:footnote w:id="5">
    <w:p w:rsidR="009469C9" w:rsidRPr="00F67F1B" w:rsidRDefault="009469C9" w:rsidP="009469C9">
      <w:pPr>
        <w:pStyle w:val="NormalWeb"/>
        <w:bidi/>
        <w:spacing w:before="0" w:beforeAutospacing="0" w:after="0" w:afterAutospacing="0"/>
        <w:jc w:val="both"/>
        <w:rPr>
          <w:rFonts w:ascii="Noor_Titr" w:hAnsi="Noor_Titr" w:cs="B Badr"/>
          <w:sz w:val="22"/>
          <w:szCs w:val="22"/>
        </w:rPr>
      </w:pPr>
      <w:r w:rsidRPr="00F67F1B">
        <w:rPr>
          <w:rStyle w:val="FootnoteReference"/>
          <w:rFonts w:cs="B Badr"/>
          <w:sz w:val="22"/>
          <w:szCs w:val="22"/>
        </w:rPr>
        <w:footnoteRef/>
      </w:r>
      <w:r w:rsidRPr="00F67F1B">
        <w:rPr>
          <w:rFonts w:cs="B Badr"/>
          <w:sz w:val="22"/>
          <w:szCs w:val="22"/>
          <w:rtl/>
        </w:rPr>
        <w:t xml:space="preserve"> </w:t>
      </w:r>
      <w:r w:rsidRPr="00F67F1B">
        <w:rPr>
          <w:rFonts w:cs="B Badr" w:hint="cs"/>
          <w:sz w:val="22"/>
          <w:szCs w:val="22"/>
          <w:rtl/>
        </w:rPr>
        <w:t xml:space="preserve">- </w:t>
      </w:r>
      <w:r w:rsidRPr="00F67F1B">
        <w:rPr>
          <w:rFonts w:ascii="Noor_Titr" w:hAnsi="Noor_Titr" w:cs="B Badr" w:hint="cs"/>
          <w:sz w:val="22"/>
          <w:szCs w:val="22"/>
          <w:rtl/>
        </w:rPr>
        <w:t xml:space="preserve">مصباح الفقيه؛ ج‌5، صص: 435 </w:t>
      </w:r>
      <w:r w:rsidRPr="00F67F1B">
        <w:rPr>
          <w:rFonts w:hint="cs"/>
          <w:sz w:val="22"/>
          <w:szCs w:val="22"/>
          <w:rtl/>
        </w:rPr>
        <w:t>–</w:t>
      </w:r>
      <w:r w:rsidRPr="00F67F1B">
        <w:rPr>
          <w:rFonts w:ascii="Noor_Titr" w:hAnsi="Noor_Titr" w:cs="B Badr" w:hint="cs"/>
          <w:sz w:val="22"/>
          <w:szCs w:val="22"/>
          <w:rtl/>
        </w:rPr>
        <w:t xml:space="preserve"> 433.</w:t>
      </w:r>
    </w:p>
  </w:footnote>
  <w:footnote w:id="6">
    <w:p w:rsidR="009469C9" w:rsidRPr="00F67F1B" w:rsidRDefault="009469C9" w:rsidP="009469C9">
      <w:pPr>
        <w:pStyle w:val="FootnoteText"/>
        <w:jc w:val="both"/>
        <w:rPr>
          <w:sz w:val="22"/>
          <w:szCs w:val="22"/>
        </w:rPr>
      </w:pPr>
      <w:r w:rsidRPr="00F67F1B">
        <w:rPr>
          <w:rStyle w:val="FootnoteReference"/>
          <w:sz w:val="22"/>
          <w:szCs w:val="22"/>
        </w:rPr>
        <w:footnoteRef/>
      </w:r>
      <w:r w:rsidRPr="00F67F1B">
        <w:rPr>
          <w:sz w:val="22"/>
          <w:szCs w:val="22"/>
          <w:rtl/>
        </w:rPr>
        <w:t xml:space="preserve"> </w:t>
      </w:r>
      <w:r w:rsidRPr="00F67F1B">
        <w:rPr>
          <w:rFonts w:hint="cs"/>
          <w:sz w:val="22"/>
          <w:szCs w:val="22"/>
          <w:rtl/>
        </w:rPr>
        <w:t>- موسوعة الإمام الخوئي؛ ج‌9، ص: 335.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9469C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10</w:t>
    </w:r>
    <w:r w:rsidR="009469C9">
      <w:rPr>
        <w:rFonts w:hint="cs"/>
        <w:b/>
        <w:bCs/>
        <w:color w:val="7030A0"/>
        <w:sz w:val="20"/>
        <w:szCs w:val="24"/>
        <w:rtl/>
      </w:rPr>
      <w:t>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9469C9">
      <w:rPr>
        <w:rFonts w:hint="cs"/>
        <w:sz w:val="24"/>
        <w:szCs w:val="24"/>
        <w:rtl/>
      </w:rPr>
      <w:t>6</w:t>
    </w:r>
    <w:r w:rsidR="00C06989">
      <w:rPr>
        <w:sz w:val="24"/>
        <w:szCs w:val="24"/>
        <w:rtl/>
      </w:rPr>
      <w:t xml:space="preserve"> /</w:t>
    </w:r>
    <w:r w:rsidR="00761380">
      <w:rPr>
        <w:rFonts w:hint="cs"/>
        <w:sz w:val="24"/>
        <w:szCs w:val="24"/>
        <w:rtl/>
      </w:rPr>
      <w:t>1</w:t>
    </w:r>
    <w:r w:rsidR="00C06989">
      <w:rPr>
        <w:sz w:val="24"/>
        <w:szCs w:val="24"/>
        <w:rtl/>
      </w:rPr>
      <w:t xml:space="preserve"> /1395</w:t>
    </w:r>
  </w:p>
  <w:p w:rsidR="00FA3B17" w:rsidRPr="00F16B53" w:rsidRDefault="00935A55" w:rsidP="009469C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9469C9">
      <w:rPr>
        <w:rFonts w:hint="cs"/>
        <w:sz w:val="24"/>
        <w:szCs w:val="24"/>
        <w:rtl/>
      </w:rPr>
      <w:t>مکروهات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9469C9">
      <w:rPr>
        <w:rFonts w:hint="cs"/>
        <w:sz w:val="24"/>
        <w:szCs w:val="24"/>
        <w:rtl/>
      </w:rPr>
      <w:t>کروهات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31B4A"/>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469C9"/>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1568E"/>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7217C-E20D-4FF8-A65B-C1871ED5E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72</TotalTime>
  <Pages>4</Pages>
  <Words>1180</Words>
  <Characters>6728</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7893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53</cp:revision>
  <cp:lastPrinted>2019-11-23T17:46:00Z</cp:lastPrinted>
  <dcterms:created xsi:type="dcterms:W3CDTF">2019-09-28T13:05:00Z</dcterms:created>
  <dcterms:modified xsi:type="dcterms:W3CDTF">2020-03-05T03:54:00Z</dcterms:modified>
</cp:coreProperties>
</file>