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875A3D" w:rsidRDefault="00761380">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4950642" w:history="1">
        <w:r w:rsidR="00875A3D" w:rsidRPr="003070CA">
          <w:rPr>
            <w:rStyle w:val="Hyperlink"/>
            <w:rFonts w:hint="eastAsia"/>
            <w:noProof/>
            <w:rtl/>
          </w:rPr>
          <w:t>تکم</w:t>
        </w:r>
        <w:r w:rsidR="00875A3D" w:rsidRPr="003070CA">
          <w:rPr>
            <w:rStyle w:val="Hyperlink"/>
            <w:rFonts w:hint="cs"/>
            <w:noProof/>
            <w:rtl/>
          </w:rPr>
          <w:t>ی</w:t>
        </w:r>
        <w:r w:rsidR="00875A3D" w:rsidRPr="003070CA">
          <w:rPr>
            <w:rStyle w:val="Hyperlink"/>
            <w:rFonts w:hint="eastAsia"/>
            <w:noProof/>
            <w:rtl/>
          </w:rPr>
          <w:t>ل</w:t>
        </w:r>
        <w:r w:rsidR="00875A3D" w:rsidRPr="003070CA">
          <w:rPr>
            <w:rStyle w:val="Hyperlink"/>
            <w:noProof/>
            <w:rtl/>
          </w:rPr>
          <w:t xml:space="preserve"> </w:t>
        </w:r>
        <w:r w:rsidR="00875A3D" w:rsidRPr="003070CA">
          <w:rPr>
            <w:rStyle w:val="Hyperlink"/>
            <w:rFonts w:hint="eastAsia"/>
            <w:noProof/>
            <w:rtl/>
          </w:rPr>
          <w:t>بحث</w:t>
        </w:r>
        <w:r w:rsidR="00875A3D" w:rsidRPr="003070CA">
          <w:rPr>
            <w:rStyle w:val="Hyperlink"/>
            <w:noProof/>
            <w:rtl/>
          </w:rPr>
          <w:t xml:space="preserve"> </w:t>
        </w:r>
        <w:r w:rsidR="00875A3D" w:rsidRPr="003070CA">
          <w:rPr>
            <w:rStyle w:val="Hyperlink"/>
            <w:rFonts w:hint="eastAsia"/>
            <w:noProof/>
            <w:rtl/>
          </w:rPr>
          <w:t>بکاء</w:t>
        </w:r>
        <w:r w:rsidR="00875A3D" w:rsidRPr="003070CA">
          <w:rPr>
            <w:rStyle w:val="Hyperlink"/>
            <w:noProof/>
            <w:rtl/>
          </w:rPr>
          <w:t xml:space="preserve"> (</w:t>
        </w:r>
        <w:r w:rsidR="00875A3D" w:rsidRPr="003070CA">
          <w:rPr>
            <w:rStyle w:val="Hyperlink"/>
            <w:rFonts w:hint="eastAsia"/>
            <w:noProof/>
            <w:rtl/>
          </w:rPr>
          <w:t>مسأله</w:t>
        </w:r>
        <w:r w:rsidR="00875A3D" w:rsidRPr="003070CA">
          <w:rPr>
            <w:rStyle w:val="Hyperlink"/>
            <w:noProof/>
            <w:rtl/>
          </w:rPr>
          <w:t xml:space="preserve"> 1)</w:t>
        </w:r>
        <w:r w:rsidR="00875A3D">
          <w:rPr>
            <w:noProof/>
            <w:webHidden/>
            <w:rtl/>
          </w:rPr>
          <w:tab/>
        </w:r>
        <w:r w:rsidR="00875A3D">
          <w:rPr>
            <w:noProof/>
            <w:webHidden/>
            <w:rtl/>
          </w:rPr>
          <w:fldChar w:fldCharType="begin"/>
        </w:r>
        <w:r w:rsidR="00875A3D">
          <w:rPr>
            <w:noProof/>
            <w:webHidden/>
            <w:rtl/>
          </w:rPr>
          <w:instrText xml:space="preserve"> </w:instrText>
        </w:r>
        <w:r w:rsidR="00875A3D">
          <w:rPr>
            <w:noProof/>
            <w:webHidden/>
          </w:rPr>
          <w:instrText>PAGEREF</w:instrText>
        </w:r>
        <w:r w:rsidR="00875A3D">
          <w:rPr>
            <w:noProof/>
            <w:webHidden/>
            <w:rtl/>
          </w:rPr>
          <w:instrText xml:space="preserve"> _</w:instrText>
        </w:r>
        <w:r w:rsidR="00875A3D">
          <w:rPr>
            <w:noProof/>
            <w:webHidden/>
          </w:rPr>
          <w:instrText>Toc</w:instrText>
        </w:r>
        <w:r w:rsidR="00875A3D">
          <w:rPr>
            <w:noProof/>
            <w:webHidden/>
            <w:rtl/>
          </w:rPr>
          <w:instrText xml:space="preserve">34950642 </w:instrText>
        </w:r>
        <w:r w:rsidR="00875A3D">
          <w:rPr>
            <w:noProof/>
            <w:webHidden/>
          </w:rPr>
          <w:instrText>\h</w:instrText>
        </w:r>
        <w:r w:rsidR="00875A3D">
          <w:rPr>
            <w:noProof/>
            <w:webHidden/>
            <w:rtl/>
          </w:rPr>
          <w:instrText xml:space="preserve"> </w:instrText>
        </w:r>
        <w:r w:rsidR="00875A3D">
          <w:rPr>
            <w:noProof/>
            <w:webHidden/>
            <w:rtl/>
          </w:rPr>
        </w:r>
        <w:r w:rsidR="00875A3D">
          <w:rPr>
            <w:noProof/>
            <w:webHidden/>
            <w:rtl/>
          </w:rPr>
          <w:fldChar w:fldCharType="separate"/>
        </w:r>
        <w:r w:rsidR="00875A3D">
          <w:rPr>
            <w:noProof/>
            <w:webHidden/>
            <w:rtl/>
          </w:rPr>
          <w:t>1</w:t>
        </w:r>
        <w:r w:rsidR="00875A3D">
          <w:rPr>
            <w:noProof/>
            <w:webHidden/>
            <w:rtl/>
          </w:rPr>
          <w:fldChar w:fldCharType="end"/>
        </w:r>
      </w:hyperlink>
    </w:p>
    <w:p w:rsidR="00875A3D" w:rsidRDefault="009D3DFD">
      <w:pPr>
        <w:pStyle w:val="TOC4"/>
        <w:tabs>
          <w:tab w:val="right" w:leader="dot" w:pos="10194"/>
        </w:tabs>
        <w:rPr>
          <w:rFonts w:asciiTheme="minorHAnsi" w:eastAsiaTheme="minorEastAsia" w:hAnsiTheme="minorHAnsi" w:cstheme="minorBidi"/>
          <w:bCs w:val="0"/>
          <w:noProof/>
          <w:color w:val="auto"/>
          <w:szCs w:val="22"/>
          <w:rtl/>
          <w:lang w:bidi="ar-SA"/>
        </w:rPr>
      </w:pPr>
      <w:hyperlink w:anchor="_Toc34950643" w:history="1">
        <w:r w:rsidR="00875A3D" w:rsidRPr="003070CA">
          <w:rPr>
            <w:rStyle w:val="Hyperlink"/>
            <w:rFonts w:hint="eastAsia"/>
            <w:noProof/>
            <w:rtl/>
          </w:rPr>
          <w:t>تکم</w:t>
        </w:r>
        <w:r w:rsidR="00875A3D" w:rsidRPr="003070CA">
          <w:rPr>
            <w:rStyle w:val="Hyperlink"/>
            <w:rFonts w:hint="cs"/>
            <w:noProof/>
            <w:rtl/>
          </w:rPr>
          <w:t>ی</w:t>
        </w:r>
        <w:r w:rsidR="00875A3D" w:rsidRPr="003070CA">
          <w:rPr>
            <w:rStyle w:val="Hyperlink"/>
            <w:rFonts w:hint="eastAsia"/>
            <w:noProof/>
            <w:rtl/>
          </w:rPr>
          <w:t>ل</w:t>
        </w:r>
        <w:r w:rsidR="00875A3D" w:rsidRPr="003070CA">
          <w:rPr>
            <w:rStyle w:val="Hyperlink"/>
            <w:noProof/>
            <w:rtl/>
          </w:rPr>
          <w:t xml:space="preserve"> </w:t>
        </w:r>
        <w:r w:rsidR="00875A3D" w:rsidRPr="003070CA">
          <w:rPr>
            <w:rStyle w:val="Hyperlink"/>
            <w:rFonts w:hint="eastAsia"/>
            <w:noProof/>
            <w:rtl/>
          </w:rPr>
          <w:t>مسأله</w:t>
        </w:r>
        <w:r w:rsidR="00875A3D" w:rsidRPr="003070CA">
          <w:rPr>
            <w:rStyle w:val="Hyperlink"/>
            <w:noProof/>
            <w:rtl/>
          </w:rPr>
          <w:t xml:space="preserve"> 3</w:t>
        </w:r>
        <w:r w:rsidR="00875A3D">
          <w:rPr>
            <w:noProof/>
            <w:webHidden/>
            <w:rtl/>
          </w:rPr>
          <w:tab/>
        </w:r>
        <w:r w:rsidR="00875A3D">
          <w:rPr>
            <w:noProof/>
            <w:webHidden/>
            <w:rtl/>
          </w:rPr>
          <w:fldChar w:fldCharType="begin"/>
        </w:r>
        <w:r w:rsidR="00875A3D">
          <w:rPr>
            <w:noProof/>
            <w:webHidden/>
            <w:rtl/>
          </w:rPr>
          <w:instrText xml:space="preserve"> </w:instrText>
        </w:r>
        <w:r w:rsidR="00875A3D">
          <w:rPr>
            <w:noProof/>
            <w:webHidden/>
          </w:rPr>
          <w:instrText>PAGEREF</w:instrText>
        </w:r>
        <w:r w:rsidR="00875A3D">
          <w:rPr>
            <w:noProof/>
            <w:webHidden/>
            <w:rtl/>
          </w:rPr>
          <w:instrText xml:space="preserve"> _</w:instrText>
        </w:r>
        <w:r w:rsidR="00875A3D">
          <w:rPr>
            <w:noProof/>
            <w:webHidden/>
          </w:rPr>
          <w:instrText>Toc</w:instrText>
        </w:r>
        <w:r w:rsidR="00875A3D">
          <w:rPr>
            <w:noProof/>
            <w:webHidden/>
            <w:rtl/>
          </w:rPr>
          <w:instrText xml:space="preserve">34950643 </w:instrText>
        </w:r>
        <w:r w:rsidR="00875A3D">
          <w:rPr>
            <w:noProof/>
            <w:webHidden/>
          </w:rPr>
          <w:instrText>\h</w:instrText>
        </w:r>
        <w:r w:rsidR="00875A3D">
          <w:rPr>
            <w:noProof/>
            <w:webHidden/>
            <w:rtl/>
          </w:rPr>
          <w:instrText xml:space="preserve"> </w:instrText>
        </w:r>
        <w:r w:rsidR="00875A3D">
          <w:rPr>
            <w:noProof/>
            <w:webHidden/>
            <w:rtl/>
          </w:rPr>
        </w:r>
        <w:r w:rsidR="00875A3D">
          <w:rPr>
            <w:noProof/>
            <w:webHidden/>
            <w:rtl/>
          </w:rPr>
          <w:fldChar w:fldCharType="separate"/>
        </w:r>
        <w:r w:rsidR="00875A3D">
          <w:rPr>
            <w:noProof/>
            <w:webHidden/>
            <w:rtl/>
          </w:rPr>
          <w:t>2</w:t>
        </w:r>
        <w:r w:rsidR="00875A3D">
          <w:rPr>
            <w:noProof/>
            <w:webHidden/>
            <w:rtl/>
          </w:rPr>
          <w:fldChar w:fldCharType="end"/>
        </w:r>
      </w:hyperlink>
    </w:p>
    <w:p w:rsidR="00875A3D" w:rsidRDefault="009D3DF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4950644" w:history="1">
        <w:r w:rsidR="00875A3D" w:rsidRPr="003070CA">
          <w:rPr>
            <w:rStyle w:val="Hyperlink"/>
            <w:rFonts w:hint="eastAsia"/>
            <w:noProof/>
            <w:rtl/>
          </w:rPr>
          <w:t>مسأله</w:t>
        </w:r>
        <w:r w:rsidR="00875A3D" w:rsidRPr="003070CA">
          <w:rPr>
            <w:rStyle w:val="Hyperlink"/>
            <w:noProof/>
            <w:rtl/>
          </w:rPr>
          <w:t xml:space="preserve"> 4: </w:t>
        </w:r>
        <w:r w:rsidR="00875A3D" w:rsidRPr="003070CA">
          <w:rPr>
            <w:rStyle w:val="Hyperlink"/>
            <w:rFonts w:hint="eastAsia"/>
            <w:noProof/>
            <w:rtl/>
          </w:rPr>
          <w:t>کفاره</w:t>
        </w:r>
        <w:r w:rsidR="00875A3D">
          <w:rPr>
            <w:rStyle w:val="Hyperlink"/>
            <w:rFonts w:hint="cs"/>
            <w:noProof/>
            <w:rtl/>
          </w:rPr>
          <w:t xml:space="preserve"> </w:t>
        </w:r>
        <w:r w:rsidR="00875A3D" w:rsidRPr="003070CA">
          <w:rPr>
            <w:rStyle w:val="Hyperlink"/>
            <w:rFonts w:hint="cs"/>
            <w:noProof/>
            <w:rtl/>
          </w:rPr>
          <w:t>ی</w:t>
        </w:r>
        <w:r w:rsidR="00875A3D" w:rsidRPr="003070CA">
          <w:rPr>
            <w:rStyle w:val="Hyperlink"/>
            <w:noProof/>
            <w:rtl/>
          </w:rPr>
          <w:t xml:space="preserve"> </w:t>
        </w:r>
        <w:r w:rsidR="00875A3D" w:rsidRPr="003070CA">
          <w:rPr>
            <w:rStyle w:val="Hyperlink"/>
            <w:rFonts w:hint="eastAsia"/>
            <w:noProof/>
            <w:rtl/>
          </w:rPr>
          <w:t>جز</w:t>
        </w:r>
        <w:r w:rsidR="00875A3D" w:rsidRPr="003070CA">
          <w:rPr>
            <w:rStyle w:val="Hyperlink"/>
            <w:noProof/>
            <w:rtl/>
          </w:rPr>
          <w:t xml:space="preserve"> </w:t>
        </w:r>
        <w:r w:rsidR="00875A3D" w:rsidRPr="003070CA">
          <w:rPr>
            <w:rStyle w:val="Hyperlink"/>
            <w:rFonts w:hint="eastAsia"/>
            <w:noProof/>
            <w:rtl/>
          </w:rPr>
          <w:t>و</w:t>
        </w:r>
        <w:r w:rsidR="00875A3D" w:rsidRPr="003070CA">
          <w:rPr>
            <w:rStyle w:val="Hyperlink"/>
            <w:noProof/>
            <w:rtl/>
          </w:rPr>
          <w:t xml:space="preserve"> </w:t>
        </w:r>
        <w:r w:rsidR="00875A3D" w:rsidRPr="003070CA">
          <w:rPr>
            <w:rStyle w:val="Hyperlink"/>
            <w:rFonts w:hint="eastAsia"/>
            <w:noProof/>
            <w:rtl/>
          </w:rPr>
          <w:t>نتف</w:t>
        </w:r>
        <w:r w:rsidR="00875A3D" w:rsidRPr="003070CA">
          <w:rPr>
            <w:rStyle w:val="Hyperlink"/>
            <w:noProof/>
            <w:rtl/>
          </w:rPr>
          <w:t xml:space="preserve"> </w:t>
        </w:r>
        <w:r w:rsidR="00875A3D" w:rsidRPr="003070CA">
          <w:rPr>
            <w:rStyle w:val="Hyperlink"/>
            <w:rFonts w:hint="eastAsia"/>
            <w:noProof/>
            <w:rtl/>
          </w:rPr>
          <w:t>شعر</w:t>
        </w:r>
        <w:r w:rsidR="00875A3D" w:rsidRPr="003070CA">
          <w:rPr>
            <w:rStyle w:val="Hyperlink"/>
            <w:noProof/>
            <w:rtl/>
          </w:rPr>
          <w:t xml:space="preserve"> </w:t>
        </w:r>
        <w:r w:rsidR="00875A3D" w:rsidRPr="003070CA">
          <w:rPr>
            <w:rStyle w:val="Hyperlink"/>
            <w:rFonts w:hint="eastAsia"/>
            <w:noProof/>
            <w:rtl/>
          </w:rPr>
          <w:t>و</w:t>
        </w:r>
        <w:r w:rsidR="00875A3D" w:rsidRPr="003070CA">
          <w:rPr>
            <w:rStyle w:val="Hyperlink"/>
            <w:noProof/>
            <w:rtl/>
          </w:rPr>
          <w:t xml:space="preserve"> </w:t>
        </w:r>
        <w:r w:rsidR="00875A3D" w:rsidRPr="003070CA">
          <w:rPr>
            <w:rStyle w:val="Hyperlink"/>
            <w:rFonts w:hint="eastAsia"/>
            <w:noProof/>
            <w:rtl/>
          </w:rPr>
          <w:t>خدش</w:t>
        </w:r>
        <w:r w:rsidR="00875A3D">
          <w:rPr>
            <w:noProof/>
            <w:webHidden/>
            <w:rtl/>
          </w:rPr>
          <w:tab/>
        </w:r>
        <w:r w:rsidR="00875A3D">
          <w:rPr>
            <w:noProof/>
            <w:webHidden/>
            <w:rtl/>
          </w:rPr>
          <w:fldChar w:fldCharType="begin"/>
        </w:r>
        <w:r w:rsidR="00875A3D">
          <w:rPr>
            <w:noProof/>
            <w:webHidden/>
            <w:rtl/>
          </w:rPr>
          <w:instrText xml:space="preserve"> </w:instrText>
        </w:r>
        <w:r w:rsidR="00875A3D">
          <w:rPr>
            <w:noProof/>
            <w:webHidden/>
          </w:rPr>
          <w:instrText>PAGEREF</w:instrText>
        </w:r>
        <w:r w:rsidR="00875A3D">
          <w:rPr>
            <w:noProof/>
            <w:webHidden/>
            <w:rtl/>
          </w:rPr>
          <w:instrText xml:space="preserve"> _</w:instrText>
        </w:r>
        <w:r w:rsidR="00875A3D">
          <w:rPr>
            <w:noProof/>
            <w:webHidden/>
          </w:rPr>
          <w:instrText>Toc</w:instrText>
        </w:r>
        <w:r w:rsidR="00875A3D">
          <w:rPr>
            <w:noProof/>
            <w:webHidden/>
            <w:rtl/>
          </w:rPr>
          <w:instrText xml:space="preserve">34950644 </w:instrText>
        </w:r>
        <w:r w:rsidR="00875A3D">
          <w:rPr>
            <w:noProof/>
            <w:webHidden/>
          </w:rPr>
          <w:instrText>\h</w:instrText>
        </w:r>
        <w:r w:rsidR="00875A3D">
          <w:rPr>
            <w:noProof/>
            <w:webHidden/>
            <w:rtl/>
          </w:rPr>
          <w:instrText xml:space="preserve"> </w:instrText>
        </w:r>
        <w:r w:rsidR="00875A3D">
          <w:rPr>
            <w:noProof/>
            <w:webHidden/>
            <w:rtl/>
          </w:rPr>
        </w:r>
        <w:r w:rsidR="00875A3D">
          <w:rPr>
            <w:noProof/>
            <w:webHidden/>
            <w:rtl/>
          </w:rPr>
          <w:fldChar w:fldCharType="separate"/>
        </w:r>
        <w:r w:rsidR="00875A3D">
          <w:rPr>
            <w:noProof/>
            <w:webHidden/>
            <w:rtl/>
          </w:rPr>
          <w:t>4</w:t>
        </w:r>
        <w:r w:rsidR="00875A3D">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6967B3">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012294">
        <w:rPr>
          <w:rFonts w:hint="cs"/>
          <w:rtl/>
        </w:rPr>
        <w:t>م</w:t>
      </w:r>
      <w:r w:rsidR="006967B3">
        <w:rPr>
          <w:rFonts w:hint="cs"/>
          <w:rtl/>
        </w:rPr>
        <w:t>کروهات</w:t>
      </w:r>
      <w:r w:rsidR="00012294">
        <w:rPr>
          <w:rFonts w:hint="cs"/>
          <w:rtl/>
        </w:rPr>
        <w:t xml:space="preserve">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w:t>
      </w:r>
      <w:r w:rsidR="006967B3">
        <w:rPr>
          <w:rFonts w:hint="cs"/>
          <w:rtl/>
        </w:rPr>
        <w:t>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C02B5A">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C02B5A">
        <w:rPr>
          <w:rFonts w:ascii="Noor_Lotus" w:hAnsi="Noor_Lotus" w:cs="B Lotus" w:hint="cs"/>
          <w:sz w:val="28"/>
          <w:rtl/>
          <w:lang w:bidi="ar-SA"/>
        </w:rPr>
        <w:t xml:space="preserve">     </w:t>
      </w:r>
      <w:r w:rsidR="00C02B5A">
        <w:rPr>
          <w:rFonts w:ascii="Noor_Lotus" w:hAnsi="Noor_Lotus" w:cs="B Lotus" w:hint="cs"/>
          <w:sz w:val="28"/>
          <w:rtl/>
          <w:lang w:bidi="ar-SA"/>
        </w:rPr>
        <w:tab/>
      </w:r>
      <w:r w:rsidR="00C02B5A">
        <w:rPr>
          <w:rFonts w:ascii="Noor_Lotus" w:hAnsi="Noor_Lotus" w:cs="B Lotus" w:hint="cs"/>
          <w:sz w:val="28"/>
          <w:rtl/>
          <w:lang w:bidi="ar-SA"/>
        </w:rPr>
        <w:tab/>
      </w:r>
      <w:r w:rsidR="00C02B5A">
        <w:rPr>
          <w:rFonts w:ascii="Noor_Lotus" w:hAnsi="Noor_Lotus" w:cs="B Lotus" w:hint="cs"/>
          <w:sz w:val="28"/>
          <w:rtl/>
          <w:lang w:bidi="ar-SA"/>
        </w:rPr>
        <w:tab/>
        <w:t>14</w:t>
      </w:r>
      <w:r w:rsidRPr="00676A67">
        <w:rPr>
          <w:rFonts w:ascii="Noor_Lotus" w:hAnsi="Noor_Lotus" w:cs="B Lotus" w:hint="cs"/>
          <w:sz w:val="28"/>
          <w:rtl/>
          <w:lang w:bidi="ar-SA"/>
        </w:rPr>
        <w:t>/</w:t>
      </w:r>
      <w:r w:rsidR="006967B3">
        <w:rPr>
          <w:rFonts w:ascii="Noor_Lotus" w:hAnsi="Noor_Lotus" w:cs="B Lotus" w:hint="cs"/>
          <w:sz w:val="28"/>
          <w:rtl/>
          <w:lang w:bidi="ar-SA"/>
        </w:rPr>
        <w:t>01</w:t>
      </w:r>
      <w:r w:rsidRPr="00676A67">
        <w:rPr>
          <w:rFonts w:ascii="Noor_Lotus" w:hAnsi="Noor_Lotus" w:cs="B Lotus" w:hint="cs"/>
          <w:sz w:val="28"/>
          <w:rtl/>
          <w:lang w:bidi="ar-SA"/>
        </w:rPr>
        <w:t>/139</w:t>
      </w:r>
      <w:r w:rsidR="006967B3">
        <w:rPr>
          <w:rFonts w:ascii="Noor_Lotus" w:hAnsi="Noor_Lotus" w:cs="B Lotus" w:hint="cs"/>
          <w:sz w:val="28"/>
          <w:rtl/>
          <w:lang w:bidi="ar-SA"/>
        </w:rPr>
        <w:t>6</w:t>
      </w:r>
      <w:r w:rsidRPr="00676A67">
        <w:rPr>
          <w:rFonts w:ascii="Noor_Lotus" w:hAnsi="Noor_Lotus" w:cs="B Lotus" w:hint="cs"/>
          <w:sz w:val="28"/>
          <w:rtl/>
          <w:lang w:bidi="ar-SA"/>
        </w:rPr>
        <w:t xml:space="preserve">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C02B5A">
        <w:rPr>
          <w:rFonts w:ascii="Noor_Lotus" w:hAnsi="Noor_Lotus" w:cs="B Lotus" w:hint="cs"/>
          <w:sz w:val="28"/>
          <w:rtl/>
          <w:lang w:bidi="ar-SA"/>
        </w:rPr>
        <w:t>دو</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w:t>
      </w:r>
      <w:r w:rsidR="00C02B5A">
        <w:rPr>
          <w:rFonts w:ascii="Noor_Lotus" w:hAnsi="Noor_Lotus" w:cs="B Lotus" w:hint="cs"/>
          <w:sz w:val="28"/>
          <w:rtl/>
          <w:lang w:bidi="ar-SA"/>
        </w:rPr>
        <w:t>10</w:t>
      </w:r>
      <w:r>
        <w:rPr>
          <w:rFonts w:ascii="Noor_Lotus" w:hAnsi="Noor_Lotus" w:cs="B Lotus" w:hint="cs"/>
          <w:sz w:val="28"/>
          <w:rtl/>
          <w:lang w:bidi="ar-SA"/>
        </w:rPr>
        <w:t xml:space="preserve"> </w:t>
      </w:r>
    </w:p>
    <w:p w:rsidR="00C02B5A" w:rsidRDefault="00C02B5A" w:rsidP="00C02B5A">
      <w:pPr>
        <w:pStyle w:val="Heading4"/>
        <w:rPr>
          <w:rtl/>
        </w:rPr>
      </w:pPr>
      <w:bookmarkStart w:id="11" w:name="_Toc34950642"/>
      <w:r>
        <w:rPr>
          <w:rFonts w:hint="cs"/>
          <w:rtl/>
        </w:rPr>
        <w:t>تکمیل بحث بکاء (مسأله 1)</w:t>
      </w:r>
      <w:bookmarkEnd w:id="11"/>
    </w:p>
    <w:p w:rsidR="00C02B5A" w:rsidRPr="00BA258F" w:rsidRDefault="00C02B5A" w:rsidP="00C02B5A">
      <w:pPr>
        <w:pStyle w:val="NormalWeb"/>
        <w:bidi/>
        <w:spacing w:line="276" w:lineRule="auto"/>
        <w:jc w:val="both"/>
        <w:rPr>
          <w:rFonts w:ascii="Noor_Titr" w:hAnsi="Noor_Titr" w:cs="B Badr"/>
          <w:color w:val="00B050"/>
          <w:sz w:val="28"/>
          <w:szCs w:val="28"/>
          <w:rtl/>
        </w:rPr>
      </w:pPr>
      <w:r w:rsidRPr="00C02B5A">
        <w:rPr>
          <w:rFonts w:ascii="Calibri" w:eastAsia="Calibri" w:hAnsi="Calibri" w:cs="B Badr" w:hint="cs"/>
          <w:sz w:val="22"/>
          <w:szCs w:val="28"/>
          <w:rtl/>
        </w:rPr>
        <w:t>در فروع سابقه، چند مطلب تکمیلی باقی مانده است. یکی راجع به بکاء که مرحوم سیّد فرمود بکاء جایز است. بعد فرمود رجحان دارد. گذشت که روایات متواتره و سیره مسلمین داریم؛ و در بعض روایات فرموده که حضرت ابراهیم عرضه داشت خدایا دختری به من بده که بعد از مرگم، بر من بگرید. فقط یک روایت در مقام هست، که از آن استشمام کراهت می</w:t>
      </w:r>
      <w:r w:rsidRPr="00C02B5A">
        <w:rPr>
          <w:rFonts w:ascii="Calibri" w:eastAsia="Calibri" w:hAnsi="Calibri" w:cs="B Badr"/>
          <w:sz w:val="22"/>
          <w:szCs w:val="28"/>
          <w:rtl/>
        </w:rPr>
        <w:softHyphen/>
      </w:r>
      <w:r w:rsidRPr="00C02B5A">
        <w:rPr>
          <w:rFonts w:ascii="Calibri" w:eastAsia="Calibri" w:hAnsi="Calibri" w:cs="B Badr" w:hint="cs"/>
          <w:sz w:val="22"/>
          <w:szCs w:val="28"/>
          <w:rtl/>
        </w:rPr>
        <w:t>شود.</w:t>
      </w:r>
      <w:r>
        <w:rPr>
          <w:rFonts w:ascii="Noor_Titr" w:hAnsi="Noor_Titr" w:cs="B Lotus" w:hint="cs"/>
          <w:sz w:val="28"/>
          <w:szCs w:val="28"/>
          <w:rtl/>
        </w:rPr>
        <w:t xml:space="preserve"> </w:t>
      </w:r>
      <w:r w:rsidRPr="00C02B5A">
        <w:rPr>
          <w:rStyle w:val="IntenseEmphasis"/>
          <w:rFonts w:hint="cs"/>
          <w:rtl/>
        </w:rPr>
        <w:t>«وَ عَنْهُ عَنْ أَبِيهِ عَنِ الْمُفِيدِ عَنِ ابْنِ قُولَوَيْهِ عَنْ أَبِيهِ عَنْ سَعْدٍ عَنْ أَحْمَدَ بْنِ مُحَمَّدٍ عَنِ الْحَسَنِ بْنِ مَحْبُوبٍ عَنْ أَبِي مُحَمَّدٍ الْأَنْصَارِيِّ عَنْ مُعَاوِيَةَ بْنِ وَهْبٍ عَنْ أَبِي عَبْدِ اللَّهِ (علیه السلام) فِي حَدِيثٍ قَالَ: كُلُّ الْجَزَعِ وَ الْبُكَاءِ مَكْرُوهٌ- سِوَى الْجَزَعِ وَ الْبُكَاءِ عَلَى الْحُسَيْنِ (علیه السلام)»</w:t>
      </w:r>
      <w:r w:rsidRPr="00BA258F">
        <w:rPr>
          <w:rFonts w:ascii="Noor_Lotus" w:hAnsi="Noor_Lotus" w:cs="B Badr" w:hint="cs"/>
          <w:color w:val="00B050"/>
          <w:sz w:val="28"/>
          <w:szCs w:val="28"/>
          <w:rtl/>
        </w:rPr>
        <w:t>.</w:t>
      </w:r>
      <w:r w:rsidRPr="00BA258F">
        <w:rPr>
          <w:rStyle w:val="FootnoteReference"/>
          <w:rFonts w:ascii="Noor_Lotus" w:hAnsi="Noor_Lotus" w:cs="B Badr"/>
          <w:sz w:val="28"/>
          <w:szCs w:val="28"/>
          <w:rtl/>
        </w:rPr>
        <w:footnoteReference w:id="1"/>
      </w:r>
    </w:p>
    <w:p w:rsidR="00C02B5A" w:rsidRDefault="00C02B5A" w:rsidP="00C02B5A">
      <w:pPr>
        <w:rPr>
          <w:rtl/>
        </w:rPr>
      </w:pPr>
      <w:r>
        <w:rPr>
          <w:rFonts w:hint="cs"/>
          <w:rtl/>
        </w:rPr>
        <w:t>مرحوم خوئی از این روایت، به حسنه معاویه بن وهب تعبیر کرده است؛ که نفهمیدیم چرا این تعبیر را نموده است. چون ظاهر این سند، این است که همه امامی و ثقه هستند. این روایت، صحیح بلکه صحیح أعلائی است. حال اگر از این روایت به سایر حضرات معصومین (علیهم السلام) تعدّی بکنیم؛ اما عموم مردم</w:t>
      </w:r>
      <w:r w:rsidR="00E456AC">
        <w:rPr>
          <w:rFonts w:hint="cs"/>
          <w:rtl/>
        </w:rPr>
        <w:t>،</w:t>
      </w:r>
      <w:bookmarkStart w:id="12" w:name="_GoBack"/>
      <w:bookmarkEnd w:id="12"/>
      <w:r>
        <w:rPr>
          <w:rFonts w:hint="cs"/>
          <w:rtl/>
        </w:rPr>
        <w:t xml:space="preserve"> داخل در مستثنی منه هستند. لذا در صدد توجیه بر آمده</w:t>
      </w:r>
      <w:r>
        <w:rPr>
          <w:rtl/>
        </w:rPr>
        <w:softHyphen/>
      </w:r>
      <w:r>
        <w:rPr>
          <w:rFonts w:hint="cs"/>
          <w:rtl/>
        </w:rPr>
        <w:t>اند که مراد از مکروه، این است که یعنی عرفاً می</w:t>
      </w:r>
      <w:r>
        <w:rPr>
          <w:rtl/>
        </w:rPr>
        <w:softHyphen/>
      </w:r>
      <w:r>
        <w:rPr>
          <w:rFonts w:hint="cs"/>
          <w:rtl/>
        </w:rPr>
        <w:t>گویند این شخصیت، چقدر پائین است که این مقدار داد و فریاد می</w:t>
      </w:r>
      <w:r>
        <w:rPr>
          <w:rtl/>
        </w:rPr>
        <w:softHyphen/>
      </w:r>
      <w:r>
        <w:rPr>
          <w:rFonts w:hint="cs"/>
          <w:rtl/>
        </w:rPr>
        <w:t>زند. مکروه یعنی ناپسند عرفی است. توجیه دیگر اینکه بگوئیم اینکه فرموده «کل الجزع و البکاء مکروه» درست است که ظاهر أولیّه</w:t>
      </w:r>
      <w:r>
        <w:rPr>
          <w:rFonts w:hint="cs"/>
          <w:rtl/>
        </w:rPr>
        <w:softHyphen/>
        <w:t xml:space="preserve">اش، استغراقی است؛ ولی مراد این مجموعه است. اینکه همراه بکاء، جزع و فزع بکنید؛ این مجموعع شرعاً مکروه است؛ إلّا در عزاء </w:t>
      </w:r>
      <w:r>
        <w:rPr>
          <w:rFonts w:hint="cs"/>
          <w:rtl/>
        </w:rPr>
        <w:lastRenderedPageBreak/>
        <w:t>حضرت أبا عبد الله الحسین (علیه السلام) که نه تنها مکروه نیست؛ بلکه رجحان هم دارد. چه بتوان این روایت را توجیه کرد، یا نتوان توجیه کرد، تاب مقاومت با آن روایاتی که عملاً و قولاً مشهور هستند؛ را ندارد. اگر نتوان این روایت را توجیه کرد، علمش را به اهلش ردّ می</w:t>
      </w:r>
      <w:r>
        <w:rPr>
          <w:rtl/>
        </w:rPr>
        <w:softHyphen/>
      </w:r>
      <w:r>
        <w:rPr>
          <w:rFonts w:hint="cs"/>
          <w:rtl/>
        </w:rPr>
        <w:t>کنیم.</w:t>
      </w:r>
    </w:p>
    <w:p w:rsidR="00C02B5A" w:rsidRDefault="00C02B5A" w:rsidP="00C02B5A">
      <w:pPr>
        <w:pStyle w:val="Heading4"/>
        <w:rPr>
          <w:rtl/>
        </w:rPr>
      </w:pPr>
      <w:bookmarkStart w:id="13" w:name="_Toc34950643"/>
      <w:r>
        <w:rPr>
          <w:rFonts w:hint="cs"/>
          <w:rtl/>
        </w:rPr>
        <w:t>تکمیل مسأله 3</w:t>
      </w:r>
      <w:bookmarkEnd w:id="13"/>
    </w:p>
    <w:p w:rsidR="00C02B5A" w:rsidRDefault="00C02B5A" w:rsidP="00C02B5A">
      <w:pPr>
        <w:rPr>
          <w:rtl/>
        </w:rPr>
      </w:pPr>
      <w:r w:rsidRPr="00C02B5A">
        <w:rPr>
          <w:rFonts w:hint="cs"/>
          <w:rtl/>
        </w:rPr>
        <w:t>مطلب دیگری هم که باقی مانده است؛ مسأله شقّ ثوب بود. مرحوم سیّد در مسأله سوم فرمود</w:t>
      </w:r>
      <w:r>
        <w:rPr>
          <w:rFonts w:hint="cs"/>
          <w:rtl/>
        </w:rPr>
        <w:t xml:space="preserve"> </w:t>
      </w:r>
      <w:r w:rsidRPr="00C02B5A">
        <w:rPr>
          <w:rStyle w:val="SubtleEmphasis"/>
          <w:rFonts w:hint="cs"/>
          <w:rtl/>
        </w:rPr>
        <w:t>«لا يجوز اللطم و الخدش و جز الشعر»</w:t>
      </w:r>
      <w:r w:rsidRPr="00AF42D2">
        <w:rPr>
          <w:rFonts w:ascii="Noor_Lotus" w:hAnsi="Noor_Lotus" w:hint="cs"/>
          <w:color w:val="0070C0"/>
        </w:rPr>
        <w:t>‌</w:t>
      </w:r>
      <w:r>
        <w:rPr>
          <w:rFonts w:ascii="Noor_Lotus" w:hAnsi="Noor_Lotus" w:hint="cs"/>
          <w:color w:val="0070C0"/>
          <w:rtl/>
        </w:rPr>
        <w:t xml:space="preserve">. </w:t>
      </w:r>
      <w:r>
        <w:rPr>
          <w:rFonts w:hint="cs"/>
          <w:rtl/>
        </w:rPr>
        <w:t>که گفتیم یا مراد مرحوم سیّد از جز الشعر، نتف الشعر است؛ یا نتف را هم می</w:t>
      </w:r>
      <w:r>
        <w:rPr>
          <w:rtl/>
        </w:rPr>
        <w:softHyphen/>
      </w:r>
      <w:r>
        <w:rPr>
          <w:rFonts w:hint="cs"/>
          <w:rtl/>
        </w:rPr>
        <w:t>گیرد. کندن موها از ته، نتف است؛ و کندن از بالا، جز است.</w:t>
      </w:r>
    </w:p>
    <w:p w:rsidR="00C02B5A" w:rsidRDefault="00C02B5A" w:rsidP="00C02B5A">
      <w:pPr>
        <w:rPr>
          <w:rtl/>
        </w:rPr>
      </w:pPr>
      <w:r>
        <w:rPr>
          <w:rFonts w:hint="cs"/>
          <w:rtl/>
        </w:rPr>
        <w:t>مثل مرحوم خوئی و بعض دیگر فرموده</w:t>
      </w:r>
      <w:r>
        <w:rPr>
          <w:rtl/>
        </w:rPr>
        <w:softHyphen/>
      </w:r>
      <w:r>
        <w:rPr>
          <w:rFonts w:hint="cs"/>
          <w:rtl/>
        </w:rPr>
        <w:t>اند اینها دلیل ندارد؛ روایاتی که در نهی از اینها رسیده است، ضعیف السند هستند. یا گفته</w:t>
      </w:r>
      <w:r>
        <w:rPr>
          <w:rtl/>
        </w:rPr>
        <w:softHyphen/>
      </w:r>
      <w:r>
        <w:rPr>
          <w:rFonts w:hint="cs"/>
          <w:rtl/>
        </w:rPr>
        <w:t>اند که جایز است؛ و یا بعضی احتیاط واجب کرده</w:t>
      </w:r>
      <w:r>
        <w:rPr>
          <w:rtl/>
        </w:rPr>
        <w:softHyphen/>
      </w:r>
      <w:r>
        <w:rPr>
          <w:rFonts w:hint="cs"/>
          <w:rtl/>
        </w:rPr>
        <w:t>اند.</w:t>
      </w:r>
    </w:p>
    <w:p w:rsidR="00C02B5A" w:rsidRDefault="00C02B5A" w:rsidP="00C02B5A">
      <w:pPr>
        <w:rPr>
          <w:rtl/>
        </w:rPr>
      </w:pPr>
      <w:r>
        <w:rPr>
          <w:rFonts w:hint="cs"/>
          <w:rtl/>
        </w:rPr>
        <w:t>لکن در ذهن ما این است که در کلمات اصحاب، أحدی فتوی به جواز لطم و خدش و نتف و جز نداده است؛ مفروغٌ عنه بوده که اینها جایز نیست؛ و روایات کثیره</w:t>
      </w:r>
      <w:r>
        <w:rPr>
          <w:rtl/>
        </w:rPr>
        <w:softHyphen/>
      </w:r>
      <w:r>
        <w:rPr>
          <w:rFonts w:hint="cs"/>
          <w:rtl/>
        </w:rPr>
        <w:t>ای بر نهی از این اعمال داریم؛ و این روایات هم معارض ندارد؛ و دلالت این روایات هم تمام است. در کتاب جامع الأحادیث،</w:t>
      </w:r>
      <w:r>
        <w:rPr>
          <w:rStyle w:val="FootnoteReference"/>
          <w:rFonts w:ascii="Noor_Titr" w:hAnsi="Noor_Titr" w:cs="B Lotus"/>
          <w:sz w:val="28"/>
          <w:rtl/>
        </w:rPr>
        <w:footnoteReference w:id="2"/>
      </w:r>
      <w:r>
        <w:rPr>
          <w:rFonts w:hint="cs"/>
          <w:rtl/>
        </w:rPr>
        <w:t xml:space="preserve"> روایات زیادی را نقل نموده است که از این اعمال نهی نموده است. چند روایت را از تفسیر علی بن ابراهیم، نقل می</w:t>
      </w:r>
      <w:r>
        <w:rPr>
          <w:rtl/>
        </w:rPr>
        <w:softHyphen/>
      </w:r>
      <w:r>
        <w:rPr>
          <w:rFonts w:hint="cs"/>
          <w:rtl/>
        </w:rPr>
        <w:t xml:space="preserve">کند. مثل روایت مرسله أبی أیوب خزّاز: </w:t>
      </w:r>
      <w:r w:rsidRPr="00C02B5A">
        <w:rPr>
          <w:rStyle w:val="IntenseEmphasis"/>
          <w:rFonts w:hint="cs"/>
          <w:rtl/>
        </w:rPr>
        <w:t>«وَ عَنْ عِدَّةٍ مِنْ أَصْحَابِنَا عَنْ أَحْمَدَ بْنِ مُحَمَّدٍ عَنْ عُثْمَانَ بْنِ عِيسَى عَنْ أَبِي أَيُّوبَ عَنْ رَجُلٍ عَنْ أَبِي عَبْدِ اللَّهِ (علیه السلام) فِي قَوْلِ اللَّهِ عَزَّ وَ جَلَّ وَ لا يَعْصِينَكَ فِي مَعْرُوفٍ - قَالَ الْمَعْرُوفُ أَنْ لَا يَشْقُقْنَ جَيْباً- وَ لَا يَلْطِمْنَ خَدّاً وَ لَا يَدْعُونَ وَيْلًا- وَ لَا يَتَخَلَّفْنَ عِنْدَ قَبْرٍ- وَ لَا يُسَوِّدْنَ ثَوْباً وَ لَا يَنْشُرْنَ شَعْراً»</w:t>
      </w:r>
      <w:r w:rsidRPr="00754857">
        <w:rPr>
          <w:rFonts w:ascii="Noor_Lotus" w:hAnsi="Noor_Lotus" w:hint="cs"/>
          <w:color w:val="00B050"/>
          <w:rtl/>
        </w:rPr>
        <w:t>.</w:t>
      </w:r>
      <w:r w:rsidRPr="00754857">
        <w:rPr>
          <w:rStyle w:val="FootnoteReference"/>
          <w:rFonts w:ascii="Noor_Lotus" w:hAnsi="Noor_Lotus"/>
          <w:sz w:val="28"/>
          <w:rtl/>
        </w:rPr>
        <w:footnoteReference w:id="3"/>
      </w:r>
      <w:r>
        <w:rPr>
          <w:rFonts w:hint="cs"/>
          <w:color w:val="00B050"/>
          <w:rtl/>
        </w:rPr>
        <w:t xml:space="preserve"> </w:t>
      </w:r>
      <w:r>
        <w:rPr>
          <w:rFonts w:hint="cs"/>
          <w:rtl/>
        </w:rPr>
        <w:t>روایت سوم را مرحوم طبرسی از مشکات الأنوار نقل نموده است. روایت چهارم از دعائم است. روایت هفتم از کتاب کافی است. روایت دیگر از معانی الأخبار است. این داستان در تفسیر فرات کوفی و مسکن الفئواد شهید ثانی هم آمده است. روایت دوازدهم از کامل الزیاره است. چند روایت را هم از مستدرک، آورده است. و هکذا روایت پانزدهم.</w:t>
      </w:r>
    </w:p>
    <w:p w:rsidR="00C02B5A" w:rsidRPr="003A7E3A" w:rsidRDefault="00C02B5A" w:rsidP="00C02B5A">
      <w:pPr>
        <w:rPr>
          <w:rFonts w:cs="Noor_Titr"/>
          <w:color w:val="286564"/>
          <w:sz w:val="27"/>
          <w:szCs w:val="27"/>
          <w:rtl/>
        </w:rPr>
      </w:pPr>
      <w:r w:rsidRPr="00C02B5A">
        <w:rPr>
          <w:rFonts w:hint="cs"/>
          <w:rtl/>
        </w:rPr>
        <w:t>روایت دیگر از عیون است.</w:t>
      </w:r>
      <w:r>
        <w:rPr>
          <w:rFonts w:hint="cs"/>
          <w:rtl/>
        </w:rPr>
        <w:t xml:space="preserve"> </w:t>
      </w:r>
      <w:r w:rsidRPr="00C02B5A">
        <w:rPr>
          <w:rStyle w:val="IntenseEmphasis"/>
          <w:rFonts w:hint="cs"/>
          <w:rtl/>
        </w:rPr>
        <w:t xml:space="preserve">«وَ فِي عُيُونِ الْأَخْبَارِ عَنْ عَلِيِّ بْنِ عَبْدِ اللَّهِ الْوَرَّاقِ عَنْ مُحَمَّدِ بْنِ أَبِي عَبْدِ اللَّهِ عَنْ سَهْلِ بْنِ زِيَادٍ عَنْ عَبْدِ الْعَظِيمِ بْنِ عَبْدِ اللَّهِ الْحَسَنِيِّ عَنْ مُحَمَّدِ بْنِ عَلِيٍّ الرِّضَا عَنْ آبَائِهِ عَنْ عَلِيٍّ (علیهم السلام) قَالَ: دَخَلْتُ أَنَا وَ فَاطِمَةُ عَلَى رَسُولِ اللَّهِ (صلّی الله علیه و آله و سلّم)- فَوَجَدْتُهُ يَبْكِي بُكَاءً شَدِيداً فَقُلْتُ لَهُ- فِدَاكَ أَبِي وَ أُمِّي يَا رَسُولَ اللَّهِ مَا الَّذِي أَبْكَاكَ- فَقَالَ يَا عَلِيُّ لَيْلَةَ أُسْرِيَ بِي إِلَى السَّمَاءِ- رَأَيْتُ نِسَاءً مِنْ أُمَّتِي فِي عَذَابٍ شَدِيدٍ- فَأَنْكَرْتُ شَأْنَهُنَّ فَبَكَيْتُ لِمَا رَأَيْتُ مِنْ شِدَّةِ عَذَابِهِنَّ- ثُمَّ </w:t>
      </w:r>
      <w:r w:rsidRPr="00C02B5A">
        <w:rPr>
          <w:rStyle w:val="IntenseEmphasis"/>
          <w:rFonts w:hint="cs"/>
          <w:rtl/>
        </w:rPr>
        <w:lastRenderedPageBreak/>
        <w:t>ذَكَرَ حَالَهُنَّ إِلَى أَنْ قَالَ فَقَالَتْ فَاطِمَةُ- حَبِيبِي وَ قُرَّةَ عَيْنِي أَخْبِرْنِي مَا كَانَ عَمَلُهُنَّ- فَقَالَ أَمَّا الْمُعَلَّقَةُ بِشَعْرِهَا- فَإِنَّهَا كَانَتْ لَا تُغَطِّي شَعْرَهَا مِنَ الرِّجَالِ- وَ أَمَّا الْمُعَلَّقَةُ بِلِسَانِهَا فَإِنَّهَا كَانَتْ تُؤْذِي زَوْجَهَا- وَ أَمَّا الْمُعَلَّقَةُ بِثَدْيَيْهَا- فَإِنَّهَا كَانَتْ تُرْضِعُ أَوْلَادَ غَيْرِ زَوْجِهَا بِغَيْرِ إِذْنِهِ- وَ أَمَّا الْمُعَلَّقَةُ بِرِجْلَيْهَا- فَإِنَّهَا كَانَتْ تَخْرُجُ مِنْ بَيْتِهَا بِغَيْرِ إِذْنِ زَوْجِهَا- وَ أَمَّا الَّتِي كَانَتْ تَأْكُلُ لَحْمَ جَسَدِهَا- فَإِنَّهَا كَانَتْ تُزَيِّنُ بَدَنَهَا لِلنَّاسِ- وَ أَمَّا الَّتِي تُشَدُّ يَدَاهَا إِلَى رِجْلَيْهَا- وَ تُسَلَّطُ عَلَيْهَا الْحَيَّاتُ وَ الْعَقَارِبُ- فَإِنَّهَا كَانَتْ قَذِرَةَ الْوَضُوءِ وَ الثِّيَابِ- وَ كَانَتْ لَا تَغْتَسِلُ مِنَ الْجَنَابَةِ وَ الْحَيْضِ وَ لَا تَتَنَظَّفُ- وَ كَانَتْ تَسْتَهِينُ بِالصَّلَاةِ- وَ أَمَّا الْعَمْيَاءُ الصَّمَّاءُ الْخَرْسَاءُ- فَإِنَّهَا كَانَتْ تَلِدُ مِنَ الزِّنَا فَتُعَلِّقُهُ فِي عُنُقِ زَوْجِهَا- وَ أَمَّا الَّتِي كَانَتْ تَقْرِضُ لَحْمَهَا بِالْمَقَارِيضِ- فَإِنَّهَا كَانَتْ تَعْرِضُ نَفْسَهَا عَلَى الرِّجَالِ- وَ أَمَّا الَّتِي كَانَتْ تُحْرِقُ وَجْهَهَا وَ بَدَنَهَا- وَ هِيَ تَجُرُّ أَمْعَاءَهَا فَإِنَّهَا كَانَتْ قَوَّادَةً- وَ أَمَّا الَّتِي كَانَ رَأْسُهَا رَأْسَ خِنْزِيرٍ- وَ بَدَنُهَا بَدَنَ الْحِمَارِ فَإِنَّهَا كَانَتْ نَمَّامَةً كَذَّابَةً- وَ أَمَّا الَّتِي كَانَتْ عَلَى صُورَةِ الْكَلْبِ- وَ النَّارُ تَدْخُلُ فِي دُبُرِهَا- وَ تَخْرُجُ مِنْ فِيهَا- فَإِنَّهَا كَانَتْ قَيْنَةً نَوَّاحَةً حَاسِدَةً- ثُمَّ قَالَ (علیه السلام) وَيْلٌ لِامْرَأَةٍ أَغْضَبَتْ زَوْجَهَا- وَ طُوبَى لِامْرَأَةٍ رَضِيَ عَنْهَا زَوْجُهَا»</w:t>
      </w:r>
      <w:r w:rsidRPr="003A7E3A">
        <w:rPr>
          <w:rFonts w:ascii="Noor_Lotus" w:hAnsi="Noor_Lotus" w:hint="cs"/>
          <w:color w:val="00B050"/>
          <w:rtl/>
        </w:rPr>
        <w:t>.</w:t>
      </w:r>
      <w:r w:rsidRPr="003A7E3A">
        <w:rPr>
          <w:rStyle w:val="FootnoteReference"/>
          <w:rFonts w:ascii="Noor_Lotus" w:hAnsi="Noor_Lotus"/>
          <w:sz w:val="28"/>
          <w:rtl/>
        </w:rPr>
        <w:footnoteReference w:id="4"/>
      </w:r>
      <w:r>
        <w:rPr>
          <w:rFonts w:cs="Noor_Titr" w:hint="cs"/>
          <w:color w:val="286564"/>
          <w:sz w:val="27"/>
          <w:szCs w:val="27"/>
          <w:rtl/>
        </w:rPr>
        <w:t xml:space="preserve"> </w:t>
      </w:r>
      <w:r>
        <w:rPr>
          <w:rFonts w:hint="cs"/>
          <w:rtl/>
        </w:rPr>
        <w:t>البته این روایت مال نیاحه است؛ و مال لطم نیست.</w:t>
      </w:r>
    </w:p>
    <w:p w:rsidR="00C02B5A" w:rsidRDefault="00C02B5A" w:rsidP="00C02B5A">
      <w:pPr>
        <w:rPr>
          <w:rtl/>
        </w:rPr>
      </w:pPr>
      <w:r>
        <w:rPr>
          <w:rFonts w:hint="cs"/>
          <w:rtl/>
        </w:rPr>
        <w:t>از این همه سند که در مورد نهی از لطم و خدش و جز و نتف داریم، اطمینان پیدا می</w:t>
      </w:r>
      <w:r>
        <w:rPr>
          <w:rFonts w:hint="cs"/>
          <w:rtl/>
        </w:rPr>
        <w:softHyphen/>
        <w:t xml:space="preserve">شود که اینها منهی عنه هستند. و مشهور هم قائل به این هستند. اینکه مرحوم سیّد فرموده </w:t>
      </w:r>
      <w:r w:rsidRPr="00B8058F">
        <w:rPr>
          <w:rFonts w:hint="cs"/>
          <w:color w:val="0070C0"/>
          <w:rtl/>
        </w:rPr>
        <w:t>«</w:t>
      </w:r>
      <w:r w:rsidRPr="00B8058F">
        <w:rPr>
          <w:rFonts w:ascii="Noor_NazliBold" w:hAnsi="Noor_NazliBold" w:hint="cs"/>
          <w:color w:val="0070C0"/>
          <w:rtl/>
        </w:rPr>
        <w:t>لا</w:t>
      </w:r>
      <w:r w:rsidRPr="00AF42D2">
        <w:rPr>
          <w:rFonts w:ascii="Noor_NazliBold" w:hAnsi="Noor_NazliBold" w:hint="cs"/>
          <w:color w:val="0070C0"/>
          <w:rtl/>
        </w:rPr>
        <w:t xml:space="preserve"> يجوز اللطم و الخدش و جز الشعر</w:t>
      </w:r>
      <w:r>
        <w:rPr>
          <w:rFonts w:ascii="Noor_Lotus" w:hAnsi="Noor_Lotus" w:hint="cs"/>
          <w:color w:val="0070C0"/>
          <w:rtl/>
        </w:rPr>
        <w:t xml:space="preserve">»، </w:t>
      </w:r>
      <w:r>
        <w:rPr>
          <w:rFonts w:hint="cs"/>
          <w:rtl/>
        </w:rPr>
        <w:t>حجّت بر آن تمام است.</w:t>
      </w:r>
    </w:p>
    <w:p w:rsidR="00C02B5A" w:rsidRPr="00B8058F" w:rsidRDefault="00C02B5A" w:rsidP="00C02B5A">
      <w:pPr>
        <w:rPr>
          <w:color w:val="FF0000"/>
          <w:rtl/>
        </w:rPr>
      </w:pPr>
      <w:r>
        <w:rPr>
          <w:rFonts w:hint="cs"/>
          <w:rtl/>
        </w:rPr>
        <w:t xml:space="preserve">اینکه مرحوم خوئی فرموده همه این روایات، </w:t>
      </w:r>
      <w:r w:rsidRPr="00300E23">
        <w:rPr>
          <w:rFonts w:hint="cs"/>
          <w:rtl/>
        </w:rPr>
        <w:t>ضعیف هستند؛ می</w:t>
      </w:r>
      <w:r w:rsidRPr="00300E23">
        <w:rPr>
          <w:rtl/>
        </w:rPr>
        <w:softHyphen/>
      </w:r>
      <w:r w:rsidRPr="00300E23">
        <w:rPr>
          <w:rFonts w:hint="cs"/>
          <w:rtl/>
        </w:rPr>
        <w:t>گوئیم گرچه ضعیف هستند؛ ولی نمی</w:t>
      </w:r>
      <w:r w:rsidRPr="00300E23">
        <w:rPr>
          <w:rFonts w:hint="cs"/>
          <w:rtl/>
        </w:rPr>
        <w:softHyphen/>
        <w:t>شود که همه این رویات، دروغ باشند. و از آنها اطمینان حاصل می</w:t>
      </w:r>
      <w:r w:rsidRPr="00300E23">
        <w:rPr>
          <w:rFonts w:hint="cs"/>
          <w:rtl/>
        </w:rPr>
        <w:softHyphen/>
        <w:t xml:space="preserve">شود که </w:t>
      </w:r>
      <w:r>
        <w:rPr>
          <w:rFonts w:hint="cs"/>
          <w:rtl/>
        </w:rPr>
        <w:t xml:space="preserve">یک نهیی در این باب وارد شده است. </w:t>
      </w:r>
      <w:r w:rsidRPr="00300E23">
        <w:rPr>
          <w:rFonts w:hint="cs"/>
          <w:rtl/>
        </w:rPr>
        <w:t>خصوصاً که مشهور هم بر همین هستند. ادّعایمان این است که روایت</w:t>
      </w:r>
      <w:r>
        <w:rPr>
          <w:rFonts w:hint="cs"/>
          <w:rtl/>
        </w:rPr>
        <w:t xml:space="preserve"> خالد بن سدیر، ضعف سندش، منجبر به عمل اصحاب است. و یکی از ادلّه</w:t>
      </w:r>
      <w:r>
        <w:rPr>
          <w:rtl/>
        </w:rPr>
        <w:softHyphen/>
      </w:r>
      <w:r>
        <w:rPr>
          <w:rFonts w:hint="cs"/>
          <w:rtl/>
        </w:rPr>
        <w:t>ای است که از لطم و خدش، نهی کرده است.</w:t>
      </w:r>
    </w:p>
    <w:p w:rsidR="00C02B5A" w:rsidRDefault="00C02B5A" w:rsidP="00C02B5A">
      <w:pPr>
        <w:rPr>
          <w:rtl/>
        </w:rPr>
      </w:pPr>
      <w:r>
        <w:rPr>
          <w:rFonts w:hint="cs"/>
          <w:rtl/>
        </w:rPr>
        <w:t xml:space="preserve">اینکه مرحوم سیّد فرموده </w:t>
      </w:r>
      <w:r w:rsidRPr="00C02B5A">
        <w:rPr>
          <w:rStyle w:val="SubtleEmphasis"/>
          <w:rFonts w:hint="cs"/>
          <w:rtl/>
        </w:rPr>
        <w:t>«بل و الصراخ الخارج عن حد الاعتدال على الأحوط»</w:t>
      </w:r>
      <w:r>
        <w:rPr>
          <w:rFonts w:hint="cs"/>
          <w:rtl/>
        </w:rPr>
        <w:t xml:space="preserve"> را نتوانستیم درست بکنیم؛ در کلمات مشهور هم نیست. در روایت خالد بن سدیر آمده است.</w:t>
      </w:r>
    </w:p>
    <w:p w:rsidR="00C02B5A" w:rsidRPr="009F3FE1" w:rsidRDefault="00C02B5A" w:rsidP="00C02B5A">
      <w:pPr>
        <w:rPr>
          <w:rFonts w:cs="Noor_Titr"/>
          <w:color w:val="286564"/>
          <w:sz w:val="27"/>
          <w:szCs w:val="27"/>
          <w:rtl/>
        </w:rPr>
      </w:pPr>
      <w:r w:rsidRPr="00C02B5A">
        <w:rPr>
          <w:rFonts w:hint="cs"/>
          <w:rtl/>
        </w:rPr>
        <w:t>اینکه مرحوم سیّد فرموده</w:t>
      </w:r>
      <w:r>
        <w:rPr>
          <w:rFonts w:hint="cs"/>
          <w:rtl/>
        </w:rPr>
        <w:t xml:space="preserve"> </w:t>
      </w:r>
      <w:r w:rsidRPr="00C02B5A">
        <w:rPr>
          <w:rStyle w:val="SubtleEmphasis"/>
          <w:rFonts w:hint="cs"/>
          <w:rtl/>
        </w:rPr>
        <w:t>«و كذا لا يجوز شق الثوب على غير الأب و الأخ و الأحوط تركه فيهما أيضا»</w:t>
      </w:r>
      <w:r>
        <w:rPr>
          <w:rFonts w:ascii="Noor_Lotus" w:hAnsi="Noor_Lotus" w:hint="cs"/>
          <w:color w:val="0070C0"/>
          <w:rtl/>
        </w:rPr>
        <w:t xml:space="preserve">؛ </w:t>
      </w:r>
      <w:r w:rsidRPr="00C02B5A">
        <w:rPr>
          <w:rFonts w:hint="cs"/>
          <w:rtl/>
        </w:rPr>
        <w:t>این را نتوانستیم درست کنیم؛ روایات مستفیضه ندارد. و گفتیم که روایت قاسم بن سلیمان،</w:t>
      </w:r>
      <w:r w:rsidRPr="00C02B5A">
        <w:rPr>
          <w:rStyle w:val="FootnoteReference"/>
          <w:rtl/>
        </w:rPr>
        <w:footnoteReference w:id="5"/>
      </w:r>
      <w:r w:rsidRPr="00C02B5A">
        <w:rPr>
          <w:rFonts w:hint="cs"/>
          <w:rtl/>
        </w:rPr>
        <w:t xml:space="preserve"> با توجه به اینکه در ذیل روایت فرموده «و الصبر خیر» حمل بر کراهت می</w:t>
      </w:r>
      <w:r w:rsidRPr="00C02B5A">
        <w:rPr>
          <w:rFonts w:hint="cs"/>
          <w:rtl/>
        </w:rPr>
        <w:softHyphen/>
        <w:t>شود نه حرمت.</w:t>
      </w:r>
      <w:r w:rsidRPr="00C02B5A">
        <w:rPr>
          <w:rFonts w:hint="cs"/>
          <w:color w:val="0F005F"/>
          <w:szCs w:val="35"/>
          <w:rtl/>
        </w:rPr>
        <w:t xml:space="preserve"> </w:t>
      </w:r>
      <w:r w:rsidRPr="00C02B5A">
        <w:rPr>
          <w:rFonts w:hint="cs"/>
          <w:rtl/>
        </w:rPr>
        <w:t xml:space="preserve">و من البعید که گریه پدر، برای فرزند حرام باشد؛ ولی گریه پسر برای </w:t>
      </w:r>
      <w:r w:rsidRPr="00C02B5A">
        <w:rPr>
          <w:rFonts w:hint="cs"/>
          <w:color w:val="000000" w:themeColor="text1"/>
          <w:rtl/>
        </w:rPr>
        <w:t xml:space="preserve">پدر، حلال </w:t>
      </w:r>
      <w:r w:rsidRPr="00C02B5A">
        <w:rPr>
          <w:rFonts w:hint="cs"/>
          <w:color w:val="000000" w:themeColor="text1"/>
          <w:rtl/>
        </w:rPr>
        <w:lastRenderedPageBreak/>
        <w:t>باشد. نسبت به اصل شقّ، دلیل داریم که ظاهرش کراهت است؛ و ظاهرش این است که جایز است.</w:t>
      </w:r>
      <w:r w:rsidRPr="00984405">
        <w:rPr>
          <w:rFonts w:hint="cs"/>
          <w:color w:val="FF0000"/>
          <w:rtl/>
        </w:rPr>
        <w:t xml:space="preserve"> </w:t>
      </w:r>
      <w:r w:rsidRPr="00C02B5A">
        <w:rPr>
          <w:rStyle w:val="IntenseEmphasis"/>
          <w:rFonts w:hint="cs"/>
          <w:rtl/>
        </w:rPr>
        <w:t>«وَ عَنْ عِدَّةٍ مِنْ أَصْحَابِنَا عَنْ سَهْلِ بْنِ زِيَادٍ عَنِ الْحَسَنِ بْنِ عَلِيٍّ عَنْ عَلِيِّ بْنِ عُقْبَةَ عَنِ امْرَأَةِ الْحَسَنِ الصَّيْقَلِ عَنْ أَبِي عَبْدِ اللَّهِ (علیه السلام) قَالَ: لَا يَنْبَغِي الصِّيَاحُ عَلَى الْمَيِّتِ وَ لَا تُشَقُّ الثِّيَابُ»</w:t>
      </w:r>
      <w:r w:rsidRPr="00693F16">
        <w:rPr>
          <w:rFonts w:ascii="Noor_Lotus" w:hAnsi="Noor_Lotus" w:hint="cs"/>
          <w:color w:val="00B050"/>
          <w:rtl/>
        </w:rPr>
        <w:t>.</w:t>
      </w:r>
      <w:r w:rsidRPr="00693F16">
        <w:rPr>
          <w:rStyle w:val="FootnoteReference"/>
          <w:rFonts w:ascii="Noor_Lotus" w:hAnsi="Noor_Lotus"/>
          <w:sz w:val="28"/>
          <w:rtl/>
        </w:rPr>
        <w:footnoteReference w:id="6"/>
      </w:r>
      <w:r>
        <w:rPr>
          <w:rFonts w:cs="Noor_Titr" w:hint="cs"/>
          <w:color w:val="286564"/>
          <w:sz w:val="27"/>
          <w:szCs w:val="27"/>
          <w:rtl/>
        </w:rPr>
        <w:t xml:space="preserve"> </w:t>
      </w:r>
      <w:r w:rsidRPr="009F3FE1">
        <w:rPr>
          <w:rFonts w:hint="cs"/>
          <w:rtl/>
        </w:rPr>
        <w:t>گذشته که در روایت خالد بن سدیر گفته «لا بأس بشقّ الجیوب». لذا «لا یجوز شقّ الثوب علی غیر الأب و الأخ» را نتوانستیم</w:t>
      </w:r>
      <w:r>
        <w:rPr>
          <w:rFonts w:hint="cs"/>
          <w:rtl/>
        </w:rPr>
        <w:t xml:space="preserve"> درست بکنیم؛ حتّی به نحو احتیاط  وجوبی.</w:t>
      </w:r>
    </w:p>
    <w:p w:rsidR="00C02B5A" w:rsidRDefault="00C02B5A" w:rsidP="00C02B5A">
      <w:pPr>
        <w:rPr>
          <w:rFonts w:cs="Noor_Titr"/>
          <w:color w:val="286564"/>
          <w:sz w:val="27"/>
          <w:szCs w:val="27"/>
          <w:rtl/>
        </w:rPr>
      </w:pPr>
      <w:r>
        <w:rPr>
          <w:rFonts w:hint="cs"/>
          <w:rtl/>
        </w:rPr>
        <w:t>اما نسبت به أب و أخ، مرحوم صاحب وسائل</w:t>
      </w:r>
      <w:r>
        <w:rPr>
          <w:rStyle w:val="FootnoteReference"/>
          <w:rFonts w:ascii="Noor_Titr" w:hAnsi="Noor_Titr" w:cs="B Lotus"/>
          <w:sz w:val="28"/>
          <w:rtl/>
        </w:rPr>
        <w:footnoteReference w:id="7"/>
      </w:r>
      <w:r>
        <w:rPr>
          <w:rFonts w:hint="cs"/>
          <w:rtl/>
        </w:rPr>
        <w:t xml:space="preserve"> یک بابی را به آن اختصاص داده است؛ صاحب وسائل هم از این روایات، کراهت فهمیده است. نسبت به أب و أخ، روایات را خواندیم؛ آنی که باقی مانده است، ما گفتیم از روایات (حال نفی حرمت یا کراهت) استفاده می</w:t>
      </w:r>
      <w:r>
        <w:rPr>
          <w:rtl/>
        </w:rPr>
        <w:softHyphen/>
      </w:r>
      <w:r>
        <w:rPr>
          <w:rFonts w:hint="cs"/>
          <w:rtl/>
        </w:rPr>
        <w:t>شود که شقّ ثوب فرزند برای پدر و برادر برای برادر، مشکلی ندارد. اینکه امام حسن عسکری (علیه السلام) برای پدرش شقّ ثوب کردند؛ استفاده می</w:t>
      </w:r>
      <w:r>
        <w:rPr>
          <w:rFonts w:hint="cs"/>
          <w:rtl/>
        </w:rPr>
        <w:softHyphen/>
        <w:t>شود که شقّ ثوب برای پدر، مشکلی ندارد. و همچنین از جواب حضرت که فرموده حضرت موسی این کار را برای برادرش هارون کرده، استفاده می</w:t>
      </w:r>
      <w:r>
        <w:rPr>
          <w:rtl/>
        </w:rPr>
        <w:softHyphen/>
      </w:r>
      <w:r>
        <w:rPr>
          <w:rFonts w:hint="cs"/>
          <w:rtl/>
        </w:rPr>
        <w:t xml:space="preserve">شود که گریه برای برادر، مشکلی ندارد. در یک روایت دیگر، فرموده که حضرت برای برادرش، گریه نمودند. </w:t>
      </w:r>
      <w:r w:rsidRPr="00C02B5A">
        <w:rPr>
          <w:rStyle w:val="IntenseEmphasis"/>
          <w:rFonts w:hint="cs"/>
          <w:rtl/>
        </w:rPr>
        <w:t>«وَ عَنْ مُحَمَّدِ بْنِ يَحْيَى وَ غَيْرِهِ عَنْ سَعْدِ بْنِ عَبْدِ اللَّهِ عَنْ جَمَاعَةٍ مِنْ بَنِي هَاشِمٍ مِنْهُمُ الْحَسَنُ بْنُ الْحَسَنِ الْأَفْطَسِ أَنَّهُمْ حَضَرُوا يَوْمَ تُوُفِّيَ مُحَمَّدُ بْنُ</w:t>
      </w:r>
      <w:r w:rsidRPr="00C02B5A">
        <w:rPr>
          <w:rStyle w:val="IntenseEmphasis"/>
          <w:rFonts w:hint="cs"/>
        </w:rPr>
        <w:t>‌</w:t>
      </w:r>
      <w:r w:rsidRPr="00C02B5A">
        <w:rPr>
          <w:rStyle w:val="IntenseEmphasis"/>
          <w:rFonts w:hint="cs"/>
          <w:rtl/>
        </w:rPr>
        <w:t xml:space="preserve"> عَلِيِّ بْنِ مُحَمَّدٍ- بَابَ أَبِي الْحَسَنِ (علیه السلام) يُعَزُّونَهُ إِلَى أَنْ قَالَ- إِذْ نَظَرَ إِلَى الْحَسَنِ بْنِ عَلِيٍّ- قَدْ جَاءَ مَشْقُوقَ الْجَيْبِ حَتَّى قَامَ عَنْ يَمِينِهِ الْحَدِيثَ»</w:t>
      </w:r>
      <w:r w:rsidRPr="008D3198">
        <w:rPr>
          <w:rFonts w:ascii="Noor_Lotus" w:hAnsi="Noor_Lotus" w:hint="cs"/>
          <w:color w:val="00B050"/>
          <w:rtl/>
        </w:rPr>
        <w:t>.</w:t>
      </w:r>
      <w:r w:rsidRPr="00984405">
        <w:rPr>
          <w:rStyle w:val="FootnoteReference"/>
          <w:rFonts w:ascii="Noor_Lotus" w:hAnsi="Noor_Lotus"/>
          <w:sz w:val="28"/>
          <w:rtl/>
        </w:rPr>
        <w:footnoteReference w:id="8"/>
      </w:r>
    </w:p>
    <w:p w:rsidR="00C02B5A" w:rsidRDefault="00C02B5A" w:rsidP="00C02B5A">
      <w:pPr>
        <w:pStyle w:val="Heading3"/>
        <w:rPr>
          <w:rtl/>
        </w:rPr>
      </w:pPr>
      <w:bookmarkStart w:id="14" w:name="_Toc34564928"/>
      <w:bookmarkStart w:id="15" w:name="_Toc34950644"/>
      <w:r>
        <w:rPr>
          <w:rFonts w:hint="cs"/>
          <w:rtl/>
        </w:rPr>
        <w:t>مسأله 4:</w:t>
      </w:r>
      <w:bookmarkEnd w:id="14"/>
      <w:r>
        <w:rPr>
          <w:rFonts w:hint="cs"/>
          <w:rtl/>
        </w:rPr>
        <w:t xml:space="preserve"> کفاره</w:t>
      </w:r>
      <w:r>
        <w:rPr>
          <w:rFonts w:hint="cs"/>
          <w:rtl/>
        </w:rPr>
        <w:softHyphen/>
        <w:t>ی جز و نتف شعر و خدش</w:t>
      </w:r>
      <w:bookmarkEnd w:id="15"/>
    </w:p>
    <w:p w:rsidR="00C02B5A" w:rsidRPr="00C02B5A" w:rsidRDefault="00C02B5A" w:rsidP="00C02B5A">
      <w:pPr>
        <w:pStyle w:val="NormalWeb"/>
        <w:bidi/>
        <w:spacing w:line="276" w:lineRule="auto"/>
        <w:jc w:val="both"/>
        <w:rPr>
          <w:rStyle w:val="SubtleEmphasis"/>
          <w:rtl/>
        </w:rPr>
      </w:pPr>
      <w:r w:rsidRPr="00C02B5A">
        <w:rPr>
          <w:rStyle w:val="SubtleEmphasis"/>
          <w:rFonts w:hint="cs"/>
          <w:rtl/>
        </w:rPr>
        <w:t>مسألة 4: في جز المرأة شعرها في المصيبة كفارة شهر رمضان</w:t>
      </w:r>
      <w:r w:rsidRPr="00C02B5A">
        <w:rPr>
          <w:rStyle w:val="SubtleEmphasis"/>
          <w:rFonts w:hint="cs"/>
        </w:rPr>
        <w:t>‌</w:t>
      </w:r>
      <w:r w:rsidRPr="00C02B5A">
        <w:rPr>
          <w:rStyle w:val="SubtleEmphasis"/>
          <w:rFonts w:hint="cs"/>
          <w:rtl/>
        </w:rPr>
        <w:t xml:space="preserve"> و في نتفه كفارة اليمين و كذا في خدشها وجهها‌.</w:t>
      </w:r>
    </w:p>
    <w:p w:rsidR="00C02B5A" w:rsidRDefault="00C02B5A" w:rsidP="00C02B5A">
      <w:pPr>
        <w:rPr>
          <w:rtl/>
        </w:rPr>
      </w:pPr>
      <w:r w:rsidRPr="00530828">
        <w:rPr>
          <w:rFonts w:hint="cs"/>
          <w:rtl/>
        </w:rPr>
        <w:t>مرحوم سیّد فرموده در جز شعر، کفاره شهر رمضان (ستیّن یوما) است. و در نتف شعر، کفاره یمین (عشره) است. و در خدش هم کفاره یمین است. اینکه</w:t>
      </w:r>
      <w:r w:rsidRPr="007A2512">
        <w:rPr>
          <w:rFonts w:hint="cs"/>
          <w:rtl/>
        </w:rPr>
        <w:t xml:space="preserve"> مرحوم سیّد فرموده است، فتوائی است که مشهور است. مرحوم صاحب جواهر</w:t>
      </w:r>
      <w:r w:rsidRPr="007A2512">
        <w:rPr>
          <w:rStyle w:val="FootnoteReference"/>
          <w:rFonts w:ascii="Noor_Lotus" w:hAnsi="Noor_Lotus" w:cs="B Lotus"/>
          <w:sz w:val="28"/>
          <w:rtl/>
        </w:rPr>
        <w:footnoteReference w:id="9"/>
      </w:r>
      <w:r>
        <w:rPr>
          <w:rFonts w:hint="cs"/>
          <w:rtl/>
        </w:rPr>
        <w:t xml:space="preserve"> اینها را در جلد </w:t>
      </w:r>
      <w:r>
        <w:rPr>
          <w:rFonts w:hint="cs"/>
          <w:rtl/>
        </w:rPr>
        <w:lastRenderedPageBreak/>
        <w:t>33</w:t>
      </w:r>
      <w:r w:rsidRPr="007A2512">
        <w:rPr>
          <w:rFonts w:hint="cs"/>
          <w:rtl/>
        </w:rPr>
        <w:t>، کتاب الکفارات آورده است. در آنجا مرحوم محقّق</w:t>
      </w:r>
      <w:r w:rsidRPr="007A2512">
        <w:rPr>
          <w:rStyle w:val="FootnoteReference"/>
          <w:rFonts w:ascii="Noor_Lotus" w:hAnsi="Noor_Lotus" w:cs="B Lotus"/>
          <w:sz w:val="28"/>
          <w:rtl/>
        </w:rPr>
        <w:footnoteReference w:id="10"/>
      </w:r>
      <w:r w:rsidRPr="007A2512">
        <w:rPr>
          <w:rFonts w:hint="cs"/>
          <w:rtl/>
        </w:rPr>
        <w:t xml:space="preserve"> چه در جز و چه در نتف می</w:t>
      </w:r>
      <w:r w:rsidRPr="007A2512">
        <w:rPr>
          <w:rtl/>
        </w:rPr>
        <w:softHyphen/>
      </w:r>
      <w:r w:rsidRPr="007A2512">
        <w:rPr>
          <w:rFonts w:hint="cs"/>
          <w:rtl/>
        </w:rPr>
        <w:t>گوید هر دو کفاره دارد.</w:t>
      </w:r>
      <w:r>
        <w:rPr>
          <w:rFonts w:hint="cs"/>
          <w:rtl/>
        </w:rPr>
        <w:t xml:space="preserve"> و </w:t>
      </w:r>
      <w:r w:rsidRPr="007A2512">
        <w:rPr>
          <w:rFonts w:hint="cs"/>
          <w:rtl/>
        </w:rPr>
        <w:t>در کفاره</w:t>
      </w:r>
      <w:r w:rsidRPr="007A2512">
        <w:rPr>
          <w:rtl/>
        </w:rPr>
        <w:softHyphen/>
      </w:r>
      <w:r w:rsidRPr="007A2512">
        <w:rPr>
          <w:rFonts w:hint="cs"/>
          <w:rtl/>
        </w:rPr>
        <w:t>اش،</w:t>
      </w:r>
      <w:r>
        <w:rPr>
          <w:rFonts w:hint="cs"/>
          <w:rtl/>
        </w:rPr>
        <w:t xml:space="preserve"> </w:t>
      </w:r>
      <w:r w:rsidRPr="007A2512">
        <w:rPr>
          <w:rFonts w:hint="cs"/>
          <w:rtl/>
        </w:rPr>
        <w:t>اختلاف است؛ که آیا کفاره</w:t>
      </w:r>
      <w:r w:rsidRPr="007A2512">
        <w:rPr>
          <w:rtl/>
        </w:rPr>
        <w:softHyphen/>
      </w:r>
      <w:r w:rsidRPr="007A2512">
        <w:rPr>
          <w:rFonts w:hint="cs"/>
          <w:rtl/>
        </w:rPr>
        <w:t>اش</w:t>
      </w:r>
      <w:r>
        <w:rPr>
          <w:rFonts w:hint="cs"/>
          <w:rtl/>
        </w:rPr>
        <w:t>،</w:t>
      </w:r>
      <w:r w:rsidRPr="007A2512">
        <w:rPr>
          <w:rFonts w:hint="cs"/>
          <w:rtl/>
        </w:rPr>
        <w:t xml:space="preserve"> کفاره شهر رمضان است؛ که تخییر است؛ یا کفاره</w:t>
      </w:r>
      <w:r w:rsidRPr="007A2512">
        <w:rPr>
          <w:rtl/>
        </w:rPr>
        <w:softHyphen/>
      </w:r>
      <w:r w:rsidRPr="007A2512">
        <w:rPr>
          <w:rFonts w:hint="cs"/>
          <w:rtl/>
        </w:rPr>
        <w:t>اش، کفاره ظهار است، که ترتیب است. به مرحوم حلبی نسبت داده که گفته کفاره</w:t>
      </w:r>
      <w:r w:rsidRPr="007A2512">
        <w:rPr>
          <w:rtl/>
        </w:rPr>
        <w:softHyphen/>
      </w:r>
      <w:r w:rsidRPr="007A2512">
        <w:rPr>
          <w:rFonts w:hint="cs"/>
          <w:rtl/>
        </w:rPr>
        <w:t>اش، کفاره ظهار است. بر اصل</w:t>
      </w:r>
      <w:r>
        <w:rPr>
          <w:rFonts w:hint="cs"/>
          <w:rtl/>
        </w:rPr>
        <w:t xml:space="preserve"> کفاره، إدّعای اجماع شده است. که ادّعای ما این است که ظاهر اینکه می</w:t>
      </w:r>
      <w:r>
        <w:rPr>
          <w:rtl/>
        </w:rPr>
        <w:softHyphen/>
      </w:r>
      <w:r>
        <w:rPr>
          <w:rFonts w:hint="cs"/>
          <w:rtl/>
        </w:rPr>
        <w:t>گویند فلان شیء، کفاره دارد؛ ظاهرش و متفاهم عرفی این است که عند تعمّد، حرام است. که در بحث فدیه ماه رمضان، همین ادّعا را کردیم، در اینکه آیا می</w:t>
      </w:r>
      <w:r>
        <w:rPr>
          <w:rtl/>
        </w:rPr>
        <w:softHyphen/>
      </w:r>
      <w:r>
        <w:rPr>
          <w:rFonts w:hint="cs"/>
          <w:rtl/>
        </w:rPr>
        <w:t>توان قضاء را به تأخیر بیندازند، که ما گفتیم چون فرموده کفاره دارد؛ ظاهرش این است که تأخیر انداختن تا ماه رمضان بعدی، حرام است. اصلاً شأن کفاره همین است یک نوع کمبود و عصیانی که حاصل شده را جبران بکند.</w:t>
      </w:r>
    </w:p>
    <w:p w:rsidR="00C02B5A" w:rsidRDefault="00C02B5A" w:rsidP="00C02B5A">
      <w:pPr>
        <w:rPr>
          <w:rtl/>
        </w:rPr>
      </w:pPr>
      <w:r>
        <w:rPr>
          <w:rFonts w:hint="cs"/>
          <w:rtl/>
        </w:rPr>
        <w:t>مرحوم محقّق در آنجا مفروغٌ عنه گرفته است. فقط یک قیلی را در جزّ المرأة، نقل کرده است؛ (قیل تأثم و لا کفارة).</w:t>
      </w:r>
    </w:p>
    <w:p w:rsidR="00C02B5A" w:rsidRDefault="00C02B5A" w:rsidP="00C02B5A">
      <w:pPr>
        <w:rPr>
          <w:rtl/>
        </w:rPr>
      </w:pPr>
      <w:r>
        <w:rPr>
          <w:rFonts w:hint="cs"/>
          <w:rtl/>
        </w:rPr>
        <w:t>مرحوم صاحب جواهر</w:t>
      </w:r>
      <w:r>
        <w:rPr>
          <w:rStyle w:val="FootnoteReference"/>
          <w:rFonts w:ascii="Noor_Lotus" w:hAnsi="Noor_Lotus" w:cs="B Lotus"/>
          <w:sz w:val="28"/>
          <w:rtl/>
        </w:rPr>
        <w:footnoteReference w:id="11"/>
      </w:r>
      <w:r>
        <w:rPr>
          <w:rFonts w:hint="cs"/>
          <w:rtl/>
        </w:rPr>
        <w:t xml:space="preserve"> گفته این قائل، وجود ندارد. در قبل از محقّق، أحدی نگفته که کفاره ندارد. اجماع داریم بر ثبوت کفاره در جزّ المرأة شعرها. در نتف شعر، اصلاً قیل هم ندارد. ابن ادریس گفته که أجمع الأصحاب علیه فی تصانیفهم و فتاویهم. هم </w:t>
      </w:r>
      <w:r>
        <w:rPr>
          <w:rFonts w:hint="cs"/>
          <w:rtl/>
        </w:rPr>
        <w:lastRenderedPageBreak/>
        <w:t>حرمت این اعمال و هم کفاره این اعمال، جز در یک مورد، مسلّم است. این کفاره در هیچ روایتی جز در روایت خالد بن سدیر، نیامده است. یکی از مواردی که محرز است، که مشهور به این روایت استناد کرده</w:t>
      </w:r>
      <w:r>
        <w:rPr>
          <w:rtl/>
        </w:rPr>
        <w:softHyphen/>
      </w:r>
      <w:r>
        <w:rPr>
          <w:rFonts w:hint="cs"/>
          <w:rtl/>
        </w:rPr>
        <w:t>اند، همین روایت خالد بن سدیر در این بحث کفارات است. (این روایت در جلد سوم جامع الأحادیث، صفحه 491 آمده است) اینکه احمد بن محمد بن داوود القمّی، که از اجلّاء قم بوده است؛ این روایت را در نوادرش نقل می</w:t>
      </w:r>
      <w:r>
        <w:rPr>
          <w:rtl/>
        </w:rPr>
        <w:softHyphen/>
      </w:r>
      <w:r>
        <w:rPr>
          <w:rFonts w:hint="cs"/>
          <w:rtl/>
        </w:rPr>
        <w:t>کند؛ تایید برای این روایت است.</w:t>
      </w:r>
    </w:p>
    <w:p w:rsidR="00C02B5A" w:rsidRDefault="00C02B5A" w:rsidP="00C02B5A">
      <w:pPr>
        <w:rPr>
          <w:rtl/>
        </w:rPr>
      </w:pPr>
      <w:r>
        <w:rPr>
          <w:rFonts w:hint="cs"/>
          <w:rtl/>
        </w:rPr>
        <w:t xml:space="preserve">اینکه در این روایت فرموده «لا یشق الوالد علی ولده و </w:t>
      </w:r>
      <w:r w:rsidRPr="00F533BC">
        <w:rPr>
          <w:rFonts w:hint="cs"/>
          <w:rtl/>
        </w:rPr>
        <w:t>و لا يشق الوالد على ولده، و لا زوج على امرأته</w:t>
      </w:r>
      <w:r>
        <w:rPr>
          <w:rFonts w:hint="cs"/>
          <w:rtl/>
        </w:rPr>
        <w:t>» را حمل بر کراهت می</w:t>
      </w:r>
      <w:r>
        <w:rPr>
          <w:rtl/>
        </w:rPr>
        <w:softHyphen/>
      </w:r>
      <w:r>
        <w:rPr>
          <w:rFonts w:hint="cs"/>
          <w:rtl/>
        </w:rPr>
        <w:t>کنیم.</w:t>
      </w:r>
    </w:p>
    <w:p w:rsidR="00C02B5A" w:rsidRDefault="00C02B5A" w:rsidP="00C02B5A">
      <w:pPr>
        <w:rPr>
          <w:rtl/>
        </w:rPr>
      </w:pPr>
      <w:r>
        <w:rPr>
          <w:rFonts w:hint="cs"/>
          <w:rtl/>
        </w:rPr>
        <w:t>ظاهر جمله «فکفارته حنث یمین» حرمت است؛ منتهی ما به قرینه آن روایات، از این ظاهر، رفع ید می</w:t>
      </w:r>
      <w:r>
        <w:rPr>
          <w:rtl/>
        </w:rPr>
        <w:softHyphen/>
      </w:r>
      <w:r>
        <w:rPr>
          <w:rFonts w:hint="cs"/>
          <w:rtl/>
        </w:rPr>
        <w:t>کنیم.</w:t>
      </w:r>
    </w:p>
    <w:p w:rsidR="00C02B5A" w:rsidRDefault="00C02B5A" w:rsidP="00C02B5A">
      <w:pPr>
        <w:rPr>
          <w:rtl/>
        </w:rPr>
      </w:pPr>
      <w:r>
        <w:rPr>
          <w:rFonts w:hint="cs"/>
          <w:rtl/>
        </w:rPr>
        <w:t>اگر بعض معلِّقین به کلام مرحوم سیّد که فرموده «</w:t>
      </w:r>
      <w:r w:rsidRPr="005725C9">
        <w:rPr>
          <w:rFonts w:hint="cs"/>
          <w:rtl/>
        </w:rPr>
        <w:t>و كذا في خدشها وجهها</w:t>
      </w:r>
      <w:r>
        <w:rPr>
          <w:rFonts w:hint="cs"/>
          <w:rtl/>
        </w:rPr>
        <w:t>» تعلیقه زده</w:t>
      </w:r>
      <w:r>
        <w:rPr>
          <w:rFonts w:hint="cs"/>
          <w:rtl/>
        </w:rPr>
        <w:softHyphen/>
        <w:t>اند؛ درست است؛ و بخاطر همین روایت است که فرموده «</w:t>
      </w:r>
      <w:r w:rsidRPr="005725C9">
        <w:rPr>
          <w:rFonts w:hint="cs"/>
          <w:rtl/>
          <w:lang w:bidi="ar-SA"/>
        </w:rPr>
        <w:t>و في الخدش إذ أدمت</w:t>
      </w:r>
      <w:r>
        <w:rPr>
          <w:rFonts w:hint="cs"/>
          <w:rtl/>
        </w:rPr>
        <w:t>».</w:t>
      </w:r>
      <w:r w:rsidRPr="005725C9">
        <w:rPr>
          <w:rFonts w:hint="cs"/>
          <w:rtl/>
        </w:rPr>
        <w:t xml:space="preserve"> </w:t>
      </w:r>
      <w:r>
        <w:rPr>
          <w:rFonts w:hint="cs"/>
          <w:rtl/>
        </w:rPr>
        <w:t>و بعضی که بر کلام مرحوم سیّد، تعلیقه نزده</w:t>
      </w:r>
      <w:r>
        <w:rPr>
          <w:rtl/>
        </w:rPr>
        <w:softHyphen/>
      </w:r>
      <w:r>
        <w:rPr>
          <w:rFonts w:hint="cs"/>
          <w:rtl/>
        </w:rPr>
        <w:t>اند؛ از این باب است که دیده</w:t>
      </w:r>
      <w:r>
        <w:rPr>
          <w:rtl/>
        </w:rPr>
        <w:softHyphen/>
      </w:r>
      <w:r>
        <w:rPr>
          <w:rFonts w:hint="cs"/>
          <w:rtl/>
        </w:rPr>
        <w:t>اند خدش ملازمه با ادمیت دارد.</w:t>
      </w:r>
    </w:p>
    <w:p w:rsidR="00C02B5A" w:rsidRPr="003863C7" w:rsidRDefault="00C02B5A" w:rsidP="00C02B5A">
      <w:pPr>
        <w:rPr>
          <w:rtl/>
        </w:rPr>
      </w:pPr>
      <w:r>
        <w:rPr>
          <w:rFonts w:hint="cs"/>
          <w:rtl/>
        </w:rPr>
        <w:t>در همین روایت می</w:t>
      </w:r>
      <w:r>
        <w:rPr>
          <w:rtl/>
        </w:rPr>
        <w:softHyphen/>
      </w:r>
      <w:r>
        <w:rPr>
          <w:rFonts w:hint="cs"/>
          <w:rtl/>
        </w:rPr>
        <w:t xml:space="preserve">گوید که کراهت یا حرمت لطم خدود، مال غیر حضرات معصومین (علیهم السلام) است. </w:t>
      </w:r>
      <w:r w:rsidRPr="00C02B5A">
        <w:rPr>
          <w:rStyle w:val="IntenseEmphasis"/>
          <w:rFonts w:hint="cs"/>
          <w:rtl/>
        </w:rPr>
        <w:t>«وَ لَا شَيْ‌ءَ فِي اللَّطْمِ عَلَى الْخُدُودِ- سِوَى الِاسْتِغْفَارِ وَ التَّوْبَةِ- وَ لَقَدْ شَقَقْنَ الْجُيُوبَ وَ لَطَمْنَ الْخُدُودَ- الْفَاطِمِيَّاتُ عَلَى الْحُسَيْنِ بْنِ عَلِيٍّ (علیهما السلام)- وَ عَلَى مِثْلِهِ تُلْطَمُ الْخُدُودُ وَ تُشَقُّ الْجُيُوبُ».</w:t>
      </w:r>
      <w:r>
        <w:rPr>
          <w:rFonts w:hint="cs"/>
          <w:rtl/>
        </w:rPr>
        <w:t xml:space="preserve"> هم در بکاء و جزع، روایت معاویة بن وهب داشتیم</w:t>
      </w:r>
      <w:r w:rsidRPr="003863C7">
        <w:rPr>
          <w:rFonts w:hint="cs"/>
          <w:rtl/>
        </w:rPr>
        <w:t>؛ و در اینجا روایت خالد بن سدیر را داریم.</w:t>
      </w:r>
      <w:r w:rsidRPr="003863C7">
        <w:rPr>
          <w:rStyle w:val="FootnoteReference"/>
          <w:rFonts w:ascii="Noor_Lotus" w:hAnsi="Noor_Lotus" w:cs="B Lotus"/>
          <w:sz w:val="28"/>
          <w:rtl/>
        </w:rPr>
        <w:footnoteReference w:id="12"/>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59C" w:rsidRDefault="009B659C" w:rsidP="008B750B">
      <w:pPr>
        <w:spacing w:line="240" w:lineRule="auto"/>
      </w:pPr>
      <w:r>
        <w:separator/>
      </w:r>
    </w:p>
  </w:endnote>
  <w:endnote w:type="continuationSeparator" w:id="0">
    <w:p w:rsidR="009B659C" w:rsidRDefault="009B659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D3DFD" w:rsidRPr="009D3DFD">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59C" w:rsidRDefault="009B659C" w:rsidP="008B750B">
      <w:pPr>
        <w:spacing w:line="240" w:lineRule="auto"/>
      </w:pPr>
      <w:r>
        <w:separator/>
      </w:r>
    </w:p>
  </w:footnote>
  <w:footnote w:type="continuationSeparator" w:id="0">
    <w:p w:rsidR="009B659C" w:rsidRDefault="009B659C" w:rsidP="008B750B">
      <w:pPr>
        <w:spacing w:line="240" w:lineRule="auto"/>
      </w:pPr>
      <w:r>
        <w:continuationSeparator/>
      </w:r>
    </w:p>
  </w:footnote>
  <w:footnote w:id="1">
    <w:p w:rsidR="00C02B5A" w:rsidRPr="005725C9" w:rsidRDefault="00C02B5A" w:rsidP="00C02B5A">
      <w:pPr>
        <w:pStyle w:val="FootnoteText"/>
        <w:jc w:val="both"/>
        <w:rPr>
          <w:sz w:val="22"/>
          <w:szCs w:val="22"/>
        </w:rPr>
      </w:pPr>
      <w:r w:rsidRPr="005725C9">
        <w:rPr>
          <w:rStyle w:val="FootnoteReference"/>
          <w:sz w:val="22"/>
          <w:szCs w:val="22"/>
        </w:rPr>
        <w:footnoteRef/>
      </w:r>
      <w:r w:rsidRPr="005725C9">
        <w:rPr>
          <w:sz w:val="22"/>
          <w:szCs w:val="22"/>
          <w:rtl/>
        </w:rPr>
        <w:t xml:space="preserve"> </w:t>
      </w:r>
      <w:r w:rsidRPr="005725C9">
        <w:rPr>
          <w:rFonts w:hint="cs"/>
          <w:sz w:val="22"/>
          <w:szCs w:val="22"/>
          <w:rtl/>
        </w:rPr>
        <w:t>- وسائل الشيعة؛ ج‌3، ص: 282، باب 87، أبواب الدفن، ح 9.</w:t>
      </w:r>
    </w:p>
  </w:footnote>
  <w:footnote w:id="2">
    <w:p w:rsidR="00C02B5A" w:rsidRPr="005725C9" w:rsidRDefault="00C02B5A" w:rsidP="00C02B5A">
      <w:pPr>
        <w:pStyle w:val="FootnoteText"/>
        <w:jc w:val="both"/>
        <w:rPr>
          <w:sz w:val="22"/>
          <w:szCs w:val="22"/>
        </w:rPr>
      </w:pPr>
      <w:r w:rsidRPr="005725C9">
        <w:rPr>
          <w:rStyle w:val="FootnoteReference"/>
          <w:sz w:val="22"/>
          <w:szCs w:val="22"/>
        </w:rPr>
        <w:footnoteRef/>
      </w:r>
      <w:r w:rsidRPr="005725C9">
        <w:rPr>
          <w:sz w:val="22"/>
          <w:szCs w:val="22"/>
          <w:rtl/>
        </w:rPr>
        <w:t xml:space="preserve"> </w:t>
      </w:r>
      <w:r w:rsidRPr="005725C9">
        <w:rPr>
          <w:rFonts w:hint="cs"/>
          <w:sz w:val="22"/>
          <w:szCs w:val="22"/>
          <w:rtl/>
        </w:rPr>
        <w:t>- جامع الأحادیث، جلد 3، صفحه 4</w:t>
      </w:r>
      <w:r>
        <w:rPr>
          <w:rFonts w:hint="cs"/>
          <w:sz w:val="22"/>
          <w:szCs w:val="22"/>
          <w:rtl/>
        </w:rPr>
        <w:t>84</w:t>
      </w:r>
      <w:r w:rsidRPr="005725C9">
        <w:rPr>
          <w:rFonts w:hint="cs"/>
          <w:sz w:val="22"/>
          <w:szCs w:val="22"/>
          <w:rtl/>
        </w:rPr>
        <w:t xml:space="preserve"> به بعد.</w:t>
      </w:r>
    </w:p>
  </w:footnote>
  <w:footnote w:id="3">
    <w:p w:rsidR="00C02B5A" w:rsidRPr="005725C9" w:rsidRDefault="00C02B5A" w:rsidP="00C02B5A">
      <w:pPr>
        <w:pStyle w:val="FootnoteText"/>
        <w:jc w:val="both"/>
        <w:rPr>
          <w:sz w:val="22"/>
          <w:szCs w:val="22"/>
        </w:rPr>
      </w:pPr>
      <w:r w:rsidRPr="005725C9">
        <w:rPr>
          <w:rStyle w:val="FootnoteReference"/>
          <w:sz w:val="22"/>
          <w:szCs w:val="22"/>
        </w:rPr>
        <w:footnoteRef/>
      </w:r>
      <w:r w:rsidRPr="005725C9">
        <w:rPr>
          <w:sz w:val="22"/>
          <w:szCs w:val="22"/>
          <w:rtl/>
        </w:rPr>
        <w:t xml:space="preserve"> </w:t>
      </w:r>
      <w:r w:rsidRPr="005725C9">
        <w:rPr>
          <w:rFonts w:hint="cs"/>
          <w:sz w:val="22"/>
          <w:szCs w:val="22"/>
          <w:rtl/>
        </w:rPr>
        <w:t>- وسائل الشيعة؛ ج‌20، ص: 210، باب 21، أبواب مقدّمات النکاح، ح 2.</w:t>
      </w:r>
    </w:p>
  </w:footnote>
  <w:footnote w:id="4">
    <w:p w:rsidR="00C02B5A" w:rsidRPr="005725C9" w:rsidRDefault="00C02B5A" w:rsidP="00C02B5A">
      <w:pPr>
        <w:pStyle w:val="FootnoteText"/>
        <w:jc w:val="both"/>
        <w:rPr>
          <w:sz w:val="22"/>
          <w:szCs w:val="22"/>
        </w:rPr>
      </w:pPr>
      <w:r w:rsidRPr="005725C9">
        <w:rPr>
          <w:rStyle w:val="FootnoteReference"/>
          <w:sz w:val="22"/>
          <w:szCs w:val="22"/>
        </w:rPr>
        <w:footnoteRef/>
      </w:r>
      <w:r w:rsidRPr="005725C9">
        <w:rPr>
          <w:sz w:val="22"/>
          <w:szCs w:val="22"/>
          <w:rtl/>
        </w:rPr>
        <w:t xml:space="preserve"> </w:t>
      </w:r>
      <w:r w:rsidRPr="005725C9">
        <w:rPr>
          <w:rFonts w:hint="cs"/>
          <w:sz w:val="22"/>
          <w:szCs w:val="22"/>
          <w:rtl/>
        </w:rPr>
        <w:t>- وسائل الشيعة؛ ج‌20، ص: 213، باب 21، أبواب مقدّمات النکاح، ح 7.</w:t>
      </w:r>
    </w:p>
  </w:footnote>
  <w:footnote w:id="5">
    <w:p w:rsidR="00C02B5A" w:rsidRPr="005725C9" w:rsidRDefault="00C02B5A" w:rsidP="00C02B5A">
      <w:pPr>
        <w:pStyle w:val="FootnoteText"/>
        <w:jc w:val="both"/>
        <w:rPr>
          <w:sz w:val="22"/>
          <w:szCs w:val="22"/>
        </w:rPr>
      </w:pPr>
      <w:r w:rsidRPr="005725C9">
        <w:rPr>
          <w:rStyle w:val="FootnoteReference"/>
          <w:sz w:val="22"/>
          <w:szCs w:val="22"/>
        </w:rPr>
        <w:footnoteRef/>
      </w:r>
      <w:r w:rsidRPr="005725C9">
        <w:rPr>
          <w:sz w:val="22"/>
          <w:szCs w:val="22"/>
          <w:rtl/>
        </w:rPr>
        <w:t xml:space="preserve"> </w:t>
      </w:r>
      <w:r w:rsidRPr="005725C9">
        <w:rPr>
          <w:rFonts w:hint="cs"/>
          <w:sz w:val="22"/>
          <w:szCs w:val="22"/>
          <w:rtl/>
        </w:rPr>
        <w:t>- وسائل الشيعة؛ ج‌3، ص: 273، باب 84، أبواب الدفن، ح 1.</w:t>
      </w:r>
      <w:r w:rsidRPr="005725C9">
        <w:rPr>
          <w:rFonts w:ascii="Noor_Titr" w:hAnsi="Noor_Titr" w:hint="cs"/>
          <w:sz w:val="22"/>
          <w:szCs w:val="22"/>
          <w:rtl/>
        </w:rPr>
        <w:t xml:space="preserve"> </w:t>
      </w:r>
      <w:r w:rsidRPr="005725C9">
        <w:rPr>
          <w:rFonts w:hint="cs"/>
          <w:sz w:val="22"/>
          <w:szCs w:val="22"/>
          <w:rtl/>
        </w:rPr>
        <w:t>«مُحَمَّدُ بْنُ يَعْقُوبَ عَنْ مُحَمَّدِ بْنِ يَحْيَى عَنْ أَحْمَدَ بْنِ مُحَمَّدٍ عَنِ الْحُسَيْنِ بْنِ سَعِيدٍ عَنِ النَّضْرِ بْنِ سُوَيْدٍ عَنِ الْقَاسِمِ بْنِ سُلَيْمَانَ عَنْ جَرَّاحٍ الْمَدَائِنِيِّ عَنْ أَبِي عَبْدِ اللَّهِ (علیه السلام) قَالَ: لَا يَصْلُحُ الصِّيَاحُ عَلَى الْمَيِّتِ وَ لَا يَنْبَغِي- وَ لَكِنَّ النَّاسَ لَا يَعْرِفُونَهُ وَ الصَّبْرُ خَيْرٌ».</w:t>
      </w:r>
    </w:p>
  </w:footnote>
  <w:footnote w:id="6">
    <w:p w:rsidR="00C02B5A" w:rsidRPr="009F3FE1" w:rsidRDefault="00C02B5A" w:rsidP="00C02B5A">
      <w:pPr>
        <w:pStyle w:val="FootnoteText"/>
        <w:jc w:val="both"/>
        <w:rPr>
          <w:sz w:val="22"/>
          <w:szCs w:val="22"/>
        </w:rPr>
      </w:pPr>
      <w:r w:rsidRPr="009F3FE1">
        <w:rPr>
          <w:rStyle w:val="FootnoteReference"/>
          <w:sz w:val="22"/>
          <w:szCs w:val="22"/>
        </w:rPr>
        <w:footnoteRef/>
      </w:r>
      <w:r w:rsidRPr="009F3FE1">
        <w:rPr>
          <w:sz w:val="22"/>
          <w:szCs w:val="22"/>
          <w:rtl/>
        </w:rPr>
        <w:t xml:space="preserve"> </w:t>
      </w:r>
      <w:r w:rsidRPr="009F3FE1">
        <w:rPr>
          <w:rFonts w:hint="cs"/>
          <w:sz w:val="22"/>
          <w:szCs w:val="22"/>
          <w:rtl/>
        </w:rPr>
        <w:t>- وسائل الشيعة؛ ج‌3، ص: 273، باب 84، أبواب الدفن، ح 2.</w:t>
      </w:r>
    </w:p>
  </w:footnote>
  <w:footnote w:id="7">
    <w:p w:rsidR="00C02B5A" w:rsidRPr="005725C9" w:rsidRDefault="00C02B5A" w:rsidP="00C02B5A">
      <w:pPr>
        <w:pStyle w:val="NormalWeb"/>
        <w:bidi/>
        <w:spacing w:before="0" w:beforeAutospacing="0" w:after="0" w:afterAutospacing="0"/>
        <w:jc w:val="both"/>
        <w:rPr>
          <w:rFonts w:ascii="Noor_Titr" w:hAnsi="Noor_Titr" w:cs="B Badr"/>
          <w:sz w:val="22"/>
          <w:szCs w:val="22"/>
        </w:rPr>
      </w:pPr>
      <w:r w:rsidRPr="005725C9">
        <w:rPr>
          <w:rStyle w:val="FootnoteReference"/>
          <w:rFonts w:cs="B Badr"/>
          <w:sz w:val="22"/>
          <w:szCs w:val="22"/>
        </w:rPr>
        <w:footnoteRef/>
      </w:r>
      <w:r w:rsidRPr="005725C9">
        <w:rPr>
          <w:rFonts w:cs="B Badr"/>
          <w:sz w:val="22"/>
          <w:szCs w:val="22"/>
          <w:rtl/>
        </w:rPr>
        <w:t xml:space="preserve"> </w:t>
      </w:r>
      <w:r w:rsidRPr="005725C9">
        <w:rPr>
          <w:rFonts w:cs="B Badr" w:hint="cs"/>
          <w:sz w:val="22"/>
          <w:szCs w:val="22"/>
          <w:rtl/>
        </w:rPr>
        <w:t xml:space="preserve">- </w:t>
      </w:r>
      <w:r w:rsidRPr="005725C9">
        <w:rPr>
          <w:rFonts w:ascii="Noor_Titr" w:hAnsi="Noor_Titr" w:cs="B Badr" w:hint="cs"/>
          <w:sz w:val="22"/>
          <w:szCs w:val="22"/>
          <w:rtl/>
        </w:rPr>
        <w:t xml:space="preserve">وسائل الشيعة؛ ج‌3، صص: 275 </w:t>
      </w:r>
      <w:r w:rsidRPr="005725C9">
        <w:rPr>
          <w:rFonts w:hint="cs"/>
          <w:sz w:val="22"/>
          <w:szCs w:val="22"/>
          <w:rtl/>
        </w:rPr>
        <w:t>–</w:t>
      </w:r>
      <w:r w:rsidRPr="005725C9">
        <w:rPr>
          <w:rFonts w:ascii="Noor_Titr" w:hAnsi="Noor_Titr" w:cs="B Badr" w:hint="cs"/>
          <w:sz w:val="22"/>
          <w:szCs w:val="22"/>
          <w:rtl/>
        </w:rPr>
        <w:t xml:space="preserve"> 273 (</w:t>
      </w:r>
      <w:r w:rsidRPr="005725C9">
        <w:rPr>
          <w:rFonts w:ascii="Noor_NazliBold" w:hAnsi="Noor_NazliBold" w:cs="B Badr" w:hint="cs"/>
          <w:sz w:val="22"/>
          <w:szCs w:val="22"/>
          <w:rtl/>
        </w:rPr>
        <w:t>بَابُ كَرَاهَةِ الصِّيَاحِ عَلَى الْمَيِّتِ وَ شَقِّ الثَّوْبِ عَلَى غَيْرِ الْأَبِ وَ الْأَخِ وَ الْقَرَابَةِ وَ كَفَّارَةِ ذَلِكَ).</w:t>
      </w:r>
      <w:r w:rsidRPr="005725C9">
        <w:rPr>
          <w:rFonts w:ascii="Noor_Lotus" w:hAnsi="Noor_Lotus" w:cs="B Badr" w:hint="cs"/>
          <w:sz w:val="22"/>
          <w:szCs w:val="22"/>
        </w:rPr>
        <w:t>‌</w:t>
      </w:r>
    </w:p>
  </w:footnote>
  <w:footnote w:id="8">
    <w:p w:rsidR="00C02B5A" w:rsidRPr="005725C9" w:rsidRDefault="00C02B5A" w:rsidP="00C02B5A">
      <w:pPr>
        <w:pStyle w:val="FootnoteText"/>
        <w:jc w:val="both"/>
        <w:rPr>
          <w:sz w:val="22"/>
          <w:szCs w:val="22"/>
        </w:rPr>
      </w:pPr>
      <w:r w:rsidRPr="005725C9">
        <w:rPr>
          <w:rStyle w:val="FootnoteReference"/>
          <w:sz w:val="22"/>
          <w:szCs w:val="22"/>
        </w:rPr>
        <w:footnoteRef/>
      </w:r>
      <w:r w:rsidRPr="005725C9">
        <w:rPr>
          <w:sz w:val="22"/>
          <w:szCs w:val="22"/>
          <w:rtl/>
        </w:rPr>
        <w:t xml:space="preserve"> </w:t>
      </w:r>
      <w:r w:rsidRPr="005725C9">
        <w:rPr>
          <w:rFonts w:hint="cs"/>
          <w:sz w:val="22"/>
          <w:szCs w:val="22"/>
          <w:rtl/>
        </w:rPr>
        <w:t>- وسائل الشيعة، ج‌3، صص: 274‌ - 273، باب 84، أبواب الدفن، ح 3.</w:t>
      </w:r>
    </w:p>
  </w:footnote>
  <w:footnote w:id="9">
    <w:p w:rsidR="00C02B5A" w:rsidRPr="005725C9" w:rsidRDefault="00C02B5A" w:rsidP="00C02B5A">
      <w:pPr>
        <w:pStyle w:val="NormalWeb"/>
        <w:bidi/>
        <w:spacing w:before="0" w:beforeAutospacing="0" w:after="0" w:afterAutospacing="0"/>
        <w:jc w:val="both"/>
        <w:rPr>
          <w:rFonts w:ascii="Noor_Titr" w:hAnsi="Noor_Titr" w:cs="B Badr"/>
          <w:sz w:val="22"/>
          <w:szCs w:val="22"/>
          <w:rtl/>
        </w:rPr>
      </w:pPr>
      <w:r w:rsidRPr="005725C9">
        <w:rPr>
          <w:rStyle w:val="FootnoteReference"/>
          <w:rFonts w:cs="B Badr"/>
          <w:sz w:val="22"/>
          <w:szCs w:val="22"/>
        </w:rPr>
        <w:footnoteRef/>
      </w:r>
      <w:r w:rsidRPr="005725C9">
        <w:rPr>
          <w:rFonts w:cs="B Badr"/>
          <w:sz w:val="22"/>
          <w:szCs w:val="22"/>
          <w:rtl/>
        </w:rPr>
        <w:t xml:space="preserve"> </w:t>
      </w:r>
      <w:r w:rsidRPr="005725C9">
        <w:rPr>
          <w:rFonts w:cs="B Badr" w:hint="cs"/>
          <w:sz w:val="22"/>
          <w:szCs w:val="22"/>
          <w:rtl/>
        </w:rPr>
        <w:t xml:space="preserve">- </w:t>
      </w:r>
      <w:r w:rsidRPr="005725C9">
        <w:rPr>
          <w:rFonts w:ascii="Noor_Titr" w:hAnsi="Noor_Titr" w:cs="B Badr" w:hint="cs"/>
          <w:sz w:val="22"/>
          <w:szCs w:val="22"/>
          <w:rtl/>
        </w:rPr>
        <w:t>جواهر الكلام في شرح شرائع الإسلام؛ ج‌33، ص: 183 (</w:t>
      </w:r>
      <w:r w:rsidRPr="005725C9">
        <w:rPr>
          <w:rFonts w:ascii="Noor_Lotus" w:hAnsi="Noor_Lotus" w:cs="B Badr" w:hint="cs"/>
          <w:sz w:val="22"/>
          <w:szCs w:val="22"/>
          <w:rtl/>
        </w:rPr>
        <w:t>الثانية: في جز المرأة شعرها في المصاب عتق رقبة أو صيام شهرين متتابعين أو إطعام ستين مسكينا كما عن المراسم و الوسيلة و الإصباح و الجامع و النزهة و النافع، بل في المقنعة و الانتصار و عن النهاية «أن فيه كفارة قتل الخطأ: عتق رقبة أو إطعام ستين مسكينا أو صيام شهرين متتابعين».</w:t>
      </w:r>
    </w:p>
    <w:p w:rsidR="00C02B5A" w:rsidRPr="005725C9" w:rsidRDefault="00C02B5A" w:rsidP="00C02B5A">
      <w:pPr>
        <w:pStyle w:val="NormalWeb"/>
        <w:bidi/>
        <w:spacing w:before="0" w:beforeAutospacing="0" w:after="0" w:afterAutospacing="0"/>
        <w:jc w:val="both"/>
        <w:rPr>
          <w:rFonts w:ascii="Noor_Titr" w:hAnsi="Noor_Titr" w:cs="B Badr"/>
          <w:sz w:val="22"/>
          <w:szCs w:val="22"/>
          <w:rtl/>
        </w:rPr>
      </w:pPr>
      <w:r w:rsidRPr="005725C9">
        <w:rPr>
          <w:rFonts w:ascii="Noor_Lotus" w:hAnsi="Noor_Lotus" w:cs="B Badr" w:hint="cs"/>
          <w:sz w:val="22"/>
          <w:szCs w:val="22"/>
          <w:rtl/>
        </w:rPr>
        <w:t>لكن في كشف اللثام «عن الشيخين أنهما نصا على الترتيب في قتل الخطأ، و حينئذ فيحتمل أن يكون التشبيه في الخصال و الترتيب جميعا، و يكون التعبير بأو إجمالا للترتيب، و أن يكون التشبيه في أصل الخصال» و إن كان فيه أن نص المقنعة على أنها مثل كفارة شهر رمضان التي نص على أنها مخيرة، و يمكن أن يكون مذهب المرتضى ذلك أيضا، بل لعله هو الظاهر من عبارته هنا، و حينئذ فيكون إجماع الانتصار على التخيير.</w:t>
      </w:r>
    </w:p>
    <w:p w:rsidR="00C02B5A" w:rsidRPr="005725C9" w:rsidRDefault="00C02B5A" w:rsidP="00C02B5A">
      <w:pPr>
        <w:pStyle w:val="NormalWeb"/>
        <w:bidi/>
        <w:spacing w:before="0" w:beforeAutospacing="0" w:after="0" w:afterAutospacing="0"/>
        <w:jc w:val="both"/>
        <w:rPr>
          <w:rFonts w:ascii="Noor_Titr" w:hAnsi="Noor_Titr" w:cs="B Badr"/>
          <w:sz w:val="22"/>
          <w:szCs w:val="22"/>
          <w:rtl/>
        </w:rPr>
      </w:pPr>
      <w:r w:rsidRPr="005725C9">
        <w:rPr>
          <w:rFonts w:ascii="Noor_Lotus" w:hAnsi="Noor_Lotus" w:cs="B Badr" w:hint="cs"/>
          <w:sz w:val="22"/>
          <w:szCs w:val="22"/>
          <w:rtl/>
        </w:rPr>
        <w:t>مضافا إلى</w:t>
      </w:r>
      <w:r w:rsidRPr="005725C9">
        <w:rPr>
          <w:rFonts w:ascii="Traditional Arabic" w:hAnsi="Traditional Arabic" w:cs="B Badr" w:hint="cs"/>
          <w:sz w:val="22"/>
          <w:szCs w:val="22"/>
          <w:rtl/>
        </w:rPr>
        <w:t>خبر خالد بن سدير</w:t>
      </w:r>
      <w:r w:rsidRPr="005725C9">
        <w:rPr>
          <w:rFonts w:ascii="Noor_Lotus" w:hAnsi="Noor_Lotus" w:cs="B Badr" w:hint="cs"/>
          <w:sz w:val="22"/>
          <w:szCs w:val="22"/>
          <w:rtl/>
        </w:rPr>
        <w:t xml:space="preserve"> «سألت أبا عبد الله عليه السلام عن رجل شق ثوبه على أبيه أو على امه أو على أخيه أو على قريب له، فقال: لا بأس بشق الجيوب، قد شق موسى بن عمران على أخيه هارون، و لا يشق الوالد على ولده، و لا زوج على امرأته، و تشق المرأة على زوجها، و إذا شق الزوج على امرأته أو والد على ولده فكفارته حنث يمين، و لا صلاة لهما حتى يكفرا أو يتوبا عن ذلك، و إذا خدشت المرأة وجهها أو جزت شعرها أو نتفته ففي جز الشعر عتق رقبة أو صيام شهرين متتابعين أو إطعام ستين مسكينا، و في الخدش إذ أدمت و في النتف كفارة حنث يمين، و لا شي‌ء في اللطم على الخدود سوى الاستغفار و التوبة، و لقد شققن الجيوب و لطمن الخدود الفاطميات على الحسين بن علي عليهما السلام، و على مثله تشق الجيوب و تلطم الخدود»</w:t>
      </w:r>
      <w:r w:rsidRPr="005725C9">
        <w:rPr>
          <w:rFonts w:ascii="Noor_Lotus" w:hAnsi="Noor_Lotus" w:cs="B Badr" w:hint="cs"/>
          <w:sz w:val="22"/>
          <w:szCs w:val="22"/>
        </w:rPr>
        <w:t>‌</w:t>
      </w:r>
    </w:p>
    <w:p w:rsidR="00C02B5A" w:rsidRPr="005725C9" w:rsidRDefault="00C02B5A" w:rsidP="00C02B5A">
      <w:pPr>
        <w:pStyle w:val="NormalWeb"/>
        <w:bidi/>
        <w:spacing w:before="0" w:beforeAutospacing="0" w:after="0" w:afterAutospacing="0"/>
        <w:jc w:val="both"/>
        <w:rPr>
          <w:rFonts w:ascii="Noor_Titr" w:hAnsi="Noor_Titr" w:cs="B Badr"/>
          <w:sz w:val="22"/>
          <w:szCs w:val="22"/>
          <w:rtl/>
        </w:rPr>
      </w:pPr>
      <w:r w:rsidRPr="005725C9">
        <w:rPr>
          <w:rFonts w:ascii="Noor_Lotus" w:hAnsi="Noor_Lotus" w:cs="B Badr" w:hint="cs"/>
          <w:sz w:val="22"/>
          <w:szCs w:val="22"/>
          <w:rtl/>
        </w:rPr>
        <w:t>المنجبر بفتوى من عرفت، بل الإجماع المحكي كما‌ ستعرف، بل لم يعرف المخالف في العمل بما في ذيله من حكم المسألة الثالثة، بل عن ابن إدريس «أن أصحابنا مجمعون عليها في تصانيفهم و فتاواهم» إلى آخره، فلا وجه للتوقف في العمل به من الطعن في سنده، كما وقع من بعض من ذوي الاختلال في الطريقة، كما لا وجه للتوقف فيه من جهة الدلالة، كما وقع للفخر، ضرورة ظهور لفظة «في» هنا كنظائر في إفادة التسبيب.</w:t>
      </w:r>
    </w:p>
    <w:p w:rsidR="00C02B5A" w:rsidRPr="005725C9" w:rsidRDefault="00C02B5A" w:rsidP="00C02B5A">
      <w:pPr>
        <w:pStyle w:val="NormalWeb"/>
        <w:bidi/>
        <w:spacing w:before="0" w:beforeAutospacing="0" w:after="0" w:afterAutospacing="0"/>
        <w:jc w:val="both"/>
        <w:rPr>
          <w:rFonts w:ascii="Noor_Titr" w:hAnsi="Noor_Titr" w:cs="B Badr"/>
          <w:sz w:val="22"/>
          <w:szCs w:val="22"/>
        </w:rPr>
      </w:pPr>
      <w:r w:rsidRPr="005725C9">
        <w:rPr>
          <w:rFonts w:ascii="Noor_Lotus" w:hAnsi="Noor_Lotus" w:cs="B Badr" w:hint="cs"/>
          <w:sz w:val="22"/>
          <w:szCs w:val="22"/>
          <w:rtl/>
        </w:rPr>
        <w:t>و لكن مع ذلك قيل كما عن الحلبي مثل كفارة الظهار مدعيا الإجماع عليه، بل في الرياض عن الانتصار ذلك أيضا قال: «لكن ذيل عبارته ظاهر في التخيير و إن حكم في صدرها بأنها كفارة ظهار، و نحوه كلام الشيخ في محكي التحرير إلا أن الصدر أصرح، فليحمل الذيل كالرواية بمعونة فتوى الجماعة على بيان الجنس على التفصيل، لا كونها مخيرة كما ذكره بعض الأجلة، فتكون الرواية حجة في المسألة، لانجبار ضعفها بالشهرة العظيمة و حكاية الإجماعين المتقدمين»).</w:t>
      </w:r>
    </w:p>
  </w:footnote>
  <w:footnote w:id="10">
    <w:p w:rsidR="00C02B5A" w:rsidRPr="005725C9" w:rsidRDefault="00C02B5A" w:rsidP="00C02B5A">
      <w:pPr>
        <w:pStyle w:val="NormalWeb"/>
        <w:bidi/>
        <w:spacing w:before="0" w:beforeAutospacing="0" w:after="0" w:afterAutospacing="0"/>
        <w:jc w:val="both"/>
        <w:rPr>
          <w:rFonts w:ascii="Noor_Titr" w:hAnsi="Noor_Titr" w:cs="B Badr"/>
          <w:sz w:val="22"/>
          <w:szCs w:val="22"/>
        </w:rPr>
      </w:pPr>
      <w:r w:rsidRPr="005725C9">
        <w:rPr>
          <w:rStyle w:val="FootnoteReference"/>
          <w:rFonts w:cs="B Badr"/>
          <w:sz w:val="22"/>
          <w:szCs w:val="22"/>
        </w:rPr>
        <w:footnoteRef/>
      </w:r>
      <w:r w:rsidRPr="005725C9">
        <w:rPr>
          <w:rFonts w:cs="B Badr"/>
          <w:sz w:val="22"/>
          <w:szCs w:val="22"/>
          <w:rtl/>
        </w:rPr>
        <w:t xml:space="preserve"> </w:t>
      </w:r>
      <w:r w:rsidRPr="005725C9">
        <w:rPr>
          <w:rFonts w:cs="B Badr" w:hint="cs"/>
          <w:sz w:val="22"/>
          <w:szCs w:val="22"/>
          <w:rtl/>
        </w:rPr>
        <w:t xml:space="preserve">- </w:t>
      </w:r>
      <w:r w:rsidRPr="005725C9">
        <w:rPr>
          <w:rFonts w:ascii="Noor_Titr" w:hAnsi="Noor_Titr" w:cs="B Badr" w:hint="cs"/>
          <w:sz w:val="22"/>
          <w:szCs w:val="22"/>
          <w:rtl/>
        </w:rPr>
        <w:t>شرائع الإسلام في مسائل الحلال و الحرام؛ ج‌3، ص: 51 (</w:t>
      </w:r>
      <w:r w:rsidRPr="005725C9">
        <w:rPr>
          <w:rFonts w:ascii="Noor_NazliBold" w:hAnsi="Noor_NazliBold" w:cs="B Badr" w:hint="cs"/>
          <w:sz w:val="22"/>
          <w:szCs w:val="22"/>
          <w:rtl/>
        </w:rPr>
        <w:t>الثانية في جز المرأة شعرها في المصاب عتق رقبة أو صيام شهرين متتابعين أو إطعام ستين مسكينا</w:t>
      </w:r>
      <w:r w:rsidRPr="005725C9">
        <w:rPr>
          <w:rFonts w:ascii="Noor_Lotus" w:hAnsi="Noor_Lotus" w:cs="B Badr" w:hint="cs"/>
          <w:sz w:val="22"/>
          <w:szCs w:val="22"/>
        </w:rPr>
        <w:t>‌</w:t>
      </w:r>
      <w:r w:rsidRPr="005725C9">
        <w:rPr>
          <w:rFonts w:ascii="Noor_Titr" w:hAnsi="Noor_Titr" w:cs="B Badr" w:hint="cs"/>
          <w:sz w:val="22"/>
          <w:szCs w:val="22"/>
          <w:rtl/>
        </w:rPr>
        <w:t xml:space="preserve"> </w:t>
      </w:r>
      <w:r w:rsidRPr="005725C9">
        <w:rPr>
          <w:rFonts w:ascii="Noor_Lotus" w:hAnsi="Noor_Lotus" w:cs="B Badr" w:hint="cs"/>
          <w:sz w:val="22"/>
          <w:szCs w:val="22"/>
          <w:rtl/>
        </w:rPr>
        <w:t>و قيل مثل كفارة الظهار و الأول مروي و قيل تأثم و لا كفارة استضعافا للرواية و تمسكا بالأصل).</w:t>
      </w:r>
    </w:p>
  </w:footnote>
  <w:footnote w:id="11">
    <w:p w:rsidR="00C02B5A" w:rsidRPr="005725C9" w:rsidRDefault="00C02B5A" w:rsidP="00C02B5A">
      <w:pPr>
        <w:pStyle w:val="NormalWeb"/>
        <w:bidi/>
        <w:spacing w:before="0" w:beforeAutospacing="0" w:after="0" w:afterAutospacing="0"/>
        <w:jc w:val="both"/>
        <w:rPr>
          <w:rFonts w:ascii="Noor_Titr" w:hAnsi="Noor_Titr" w:cs="B Badr"/>
          <w:sz w:val="22"/>
          <w:szCs w:val="22"/>
          <w:rtl/>
        </w:rPr>
      </w:pPr>
      <w:r w:rsidRPr="005725C9">
        <w:rPr>
          <w:rStyle w:val="FootnoteReference"/>
          <w:rFonts w:cs="B Badr"/>
          <w:sz w:val="22"/>
          <w:szCs w:val="22"/>
        </w:rPr>
        <w:footnoteRef/>
      </w:r>
      <w:r w:rsidRPr="005725C9">
        <w:rPr>
          <w:rFonts w:cs="B Badr"/>
          <w:sz w:val="22"/>
          <w:szCs w:val="22"/>
          <w:rtl/>
        </w:rPr>
        <w:t xml:space="preserve"> </w:t>
      </w:r>
      <w:r w:rsidRPr="005725C9">
        <w:rPr>
          <w:rFonts w:cs="B Badr" w:hint="cs"/>
          <w:sz w:val="22"/>
          <w:szCs w:val="22"/>
          <w:rtl/>
        </w:rPr>
        <w:t xml:space="preserve">- </w:t>
      </w:r>
      <w:r w:rsidRPr="005725C9">
        <w:rPr>
          <w:rFonts w:ascii="Noor_Titr" w:hAnsi="Noor_Titr" w:cs="B Badr" w:hint="cs"/>
          <w:sz w:val="22"/>
          <w:szCs w:val="22"/>
          <w:rtl/>
        </w:rPr>
        <w:t xml:space="preserve">جواهر الكلام في شرح شرائع الإسلام؛ ج‌33، صص: 185 </w:t>
      </w:r>
      <w:r w:rsidRPr="005725C9">
        <w:rPr>
          <w:rFonts w:hint="cs"/>
          <w:sz w:val="22"/>
          <w:szCs w:val="22"/>
          <w:rtl/>
        </w:rPr>
        <w:t>–</w:t>
      </w:r>
      <w:r w:rsidRPr="005725C9">
        <w:rPr>
          <w:rFonts w:ascii="Noor_Titr" w:hAnsi="Noor_Titr" w:cs="B Badr" w:hint="cs"/>
          <w:sz w:val="22"/>
          <w:szCs w:val="22"/>
          <w:rtl/>
        </w:rPr>
        <w:t xml:space="preserve"> 184 (</w:t>
      </w:r>
      <w:r w:rsidRPr="005725C9">
        <w:rPr>
          <w:rFonts w:ascii="Noor_Lotus" w:hAnsi="Noor_Lotus" w:cs="B Badr" w:hint="cs"/>
          <w:sz w:val="22"/>
          <w:szCs w:val="22"/>
          <w:rtl/>
        </w:rPr>
        <w:t>و فيه أن الموجود في عبارة الانتصار تشبيهها بكفارة قتل الخطأ التي هي مخيرة عند المفيد و سلار، و مذهب المرتضى غالبا على وفق مذهبهما، فالمظنون ما هو ظاهر العبارة من التخيير فيهما، فيتفق الصدر، و يكون إجماعه الذي ذكره حجة للمسألة، مضافا إلى الخبر، و لعل فتوى من عرفت شاهد على صحة الإجماع المزبور، لا على أنها كفارة ظهار الذي لم يعرف القول به ممن تقدمه، بل و لا من تأخره عدا الحلي و الشهيد في اللمعة.</w:t>
      </w:r>
    </w:p>
    <w:p w:rsidR="00C02B5A" w:rsidRPr="005725C9" w:rsidRDefault="00C02B5A" w:rsidP="00C02B5A">
      <w:pPr>
        <w:pStyle w:val="NormalWeb"/>
        <w:bidi/>
        <w:spacing w:before="0" w:beforeAutospacing="0" w:after="0" w:afterAutospacing="0"/>
        <w:jc w:val="both"/>
        <w:rPr>
          <w:rFonts w:ascii="Noor_Titr" w:hAnsi="Noor_Titr" w:cs="B Badr"/>
          <w:sz w:val="22"/>
          <w:szCs w:val="22"/>
          <w:rtl/>
        </w:rPr>
      </w:pPr>
      <w:r w:rsidRPr="005725C9">
        <w:rPr>
          <w:rFonts w:ascii="Noor_Lotus" w:hAnsi="Noor_Lotus" w:cs="B Badr" w:hint="cs"/>
          <w:sz w:val="22"/>
          <w:szCs w:val="22"/>
          <w:rtl/>
        </w:rPr>
        <w:t>و بذلك يظهر لك و هن إجماع ابن إدريس، كما أن منه يظهر غرابة ما سمعته من الرياض، بل ما كنا لنؤثر وقوع مثل ذلك من مثله، بل و يظهر لك أيضا من قول المصنف و الأول مروي- نوع ميل إليه، بل ينبغي الجزم به، لما عرفت من ضعف القول بأنها كفارة ظهار.</w:t>
      </w:r>
    </w:p>
    <w:p w:rsidR="00C02B5A" w:rsidRPr="005725C9" w:rsidRDefault="00C02B5A" w:rsidP="00C02B5A">
      <w:pPr>
        <w:jc w:val="both"/>
        <w:rPr>
          <w:rFonts w:ascii="Noor_Titr" w:hAnsi="Noor_Titr"/>
          <w:szCs w:val="22"/>
          <w:rtl/>
        </w:rPr>
      </w:pPr>
      <w:r w:rsidRPr="005725C9">
        <w:rPr>
          <w:rFonts w:ascii="Noor_Lotus" w:hAnsi="Noor_Lotus" w:hint="cs"/>
          <w:szCs w:val="22"/>
          <w:rtl/>
        </w:rPr>
        <w:t>و أما ما في المتن من أنه قيل: تأثم و لا كفارة استضعافا للرواية و تمسكا بالأصل فلم نتحققه قبل المصنف، كما عن جماعة الاعتراف به أيضا، كالشهيد في النكت و غيره، بل قيل: لم يحكه أحد عدا المصنف هنا و الفاضل في القواعد و الإرشاد، نعم قد اختاره جماعة من المتأخرين كالفخر و ثاني الشهيدين في المسالك و الروضة و سبطه.</w:t>
      </w:r>
    </w:p>
    <w:p w:rsidR="00C02B5A" w:rsidRPr="005725C9" w:rsidRDefault="00C02B5A" w:rsidP="00C02B5A">
      <w:pPr>
        <w:pStyle w:val="NormalWeb"/>
        <w:bidi/>
        <w:spacing w:before="0" w:beforeAutospacing="0" w:after="0" w:afterAutospacing="0"/>
        <w:jc w:val="both"/>
        <w:rPr>
          <w:rFonts w:ascii="Noor_Titr" w:hAnsi="Noor_Titr" w:cs="B Badr"/>
          <w:sz w:val="22"/>
          <w:szCs w:val="22"/>
        </w:rPr>
      </w:pPr>
      <w:r w:rsidRPr="005725C9">
        <w:rPr>
          <w:rFonts w:ascii="Noor_Lotus" w:hAnsi="Noor_Lotus" w:cs="B Badr" w:hint="cs"/>
          <w:sz w:val="22"/>
          <w:szCs w:val="22"/>
          <w:rtl/>
        </w:rPr>
        <w:t>لكن فيه أن ضعف الرواية منجبر بما سمعت، فينقطع الأصل بها، مضافا إلى الإجماعين المزبورين المعتضدين بما عن الغنية من الإجماع على وجوب الصوم هنا، فلا محيص حينئذ عن القول بالوجوب، إنما الكلام في أنه تخييري أو مرتب، و الأقوى الأول، لما عرفت، و الأحوط الثاني).</w:t>
      </w:r>
    </w:p>
  </w:footnote>
  <w:footnote w:id="12">
    <w:p w:rsidR="00C02B5A" w:rsidRPr="003863C7" w:rsidRDefault="00C02B5A" w:rsidP="00C02B5A">
      <w:pPr>
        <w:pStyle w:val="FootnoteText"/>
        <w:jc w:val="both"/>
        <w:rPr>
          <w:sz w:val="22"/>
          <w:szCs w:val="22"/>
        </w:rPr>
      </w:pPr>
      <w:r w:rsidRPr="003863C7">
        <w:rPr>
          <w:rStyle w:val="FootnoteReference"/>
          <w:sz w:val="22"/>
          <w:szCs w:val="22"/>
        </w:rPr>
        <w:footnoteRef/>
      </w:r>
      <w:r w:rsidRPr="003863C7">
        <w:rPr>
          <w:sz w:val="22"/>
          <w:szCs w:val="22"/>
          <w:rtl/>
        </w:rPr>
        <w:t xml:space="preserve"> </w:t>
      </w:r>
      <w:r w:rsidRPr="003863C7">
        <w:rPr>
          <w:rFonts w:hint="cs"/>
          <w:sz w:val="22"/>
          <w:szCs w:val="22"/>
          <w:rtl/>
        </w:rPr>
        <w:t>- وسائل الشيعة؛ ج‌22، ص: 40، باب 31، أبواب الکفارات، ح 1. «مُحَمَّدُ بْنُ الْحَسَنِ بِإِسْنَادِهِ عَنْ أَحْمَدَ بْنِ مُحَمَّدِ بْنِ دَاوُدَ الْقُمِّيِّ فِي نَوَادِرِهِ عَنْ مُحَمَّدِ بْنِ عِيسَى عَنْ أَخِيهِ جَعْفَرِ بْنِ عِيسَى عَنْ خَالِدِ بْنِ سَدِيرٍ أَخِي حَنَانِ بْنِ سَدِيرٍ قَالَ: سَأَلْتُ أَبَا عَبْدِ اللَّهِ (علیه السلام) عَنْ رَجُلٍ شَقَّ ثَوْبَهُ عَلَى أَبِيهِ- أَوْ عَلَى أُمِّهِ أَوْ عَلَى أَخِيهِ أَوْ عَلَى قَرِيبٍ لَهُ- فَقَالَ لَا بَأْسَ بِشَقِّ الْجُيُوبِ- قَدْ شَقَّ مُوسَى بْنُ عِمْرَانَ عَلَى أَخِيهِ هَارُونَ- وَ لَا يَشُقَّ الْوَالِدُ عَلَى وَلَدِهِ وَ لَا زَوْجٌ عَلَى امْرَأَتِهِ- وَ تَشُقُّ الْمَرْأَةُ عَلَى زَوْجِهَا وَ إِذَا شَقَّ زَوْجٌ عَلَى امْرَأَتِهِ- أَوْ وَالِدٌ عَلَى وَلَدِهِ فَكَفَّارَتُهُ حِنْثُ يَمِينٍ- وَ لَا صَلَاةَ لَهُمَا حَتَّى يُكَفِّرَا أَوْ يَتُوبَا مِنْ ذَلِكَ- فَإِذَا خَدَشَتِ الْمَرْأَةُ وَجْهَهَا أَوْ جَزَّتْ شَعْرَهَا- أَوْ نَتَفَتْهُ فَفِي جَزِّ الشَّعْرِ عِتْقُ رَقَبَةٍ- أَوْ صِيَامُ شَهْرَيْنِ مُتَتَابِعَيْنِ أَوْ إِطْعَامُ سِتِّينَ مِسْكِيناً- وَ فِي الْخَدْشِ إِذَا دَمِيَتْ وَ فِي النَّتْفِ كَفَّارَةُ حِنْثِ يَمِينٍ- وَ لَا شَيْ‌ءَ فِي اللَّطْمِ عَلَى الْخُدُودِ- سِوَى الِاسْتِغْفَارِ وَ التَّوْبَةِ- وَ لَقَدْ شَقَقْنَ الْجُيُوبَ وَ لَطَمْنَ الْخُدُودَ- الْفَاطِمِيَّاتُ عَلَى الْحُسَيْنِ بْنِ عَلِيٍّ (علیهما السلام)- وَ عَلَى مِثْلِهِ تُلْطَمُ الْخُدُودُ وَ تُشَقُّ الْجُيُوبُ».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C02B5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w:t>
    </w:r>
    <w:r w:rsidR="00C02B5A">
      <w:rPr>
        <w:rFonts w:hint="cs"/>
        <w:b/>
        <w:bCs/>
        <w:color w:val="7030A0"/>
        <w:sz w:val="20"/>
        <w:szCs w:val="24"/>
        <w:rtl/>
      </w:rPr>
      <w:t>10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C02B5A">
      <w:rPr>
        <w:rFonts w:hint="cs"/>
        <w:sz w:val="24"/>
        <w:szCs w:val="24"/>
        <w:rtl/>
      </w:rPr>
      <w:t>14</w:t>
    </w:r>
    <w:r w:rsidR="00C06989">
      <w:rPr>
        <w:sz w:val="24"/>
        <w:szCs w:val="24"/>
        <w:rtl/>
      </w:rPr>
      <w:t xml:space="preserve"> /</w:t>
    </w:r>
    <w:r w:rsidR="00761380">
      <w:rPr>
        <w:rFonts w:hint="cs"/>
        <w:sz w:val="24"/>
        <w:szCs w:val="24"/>
        <w:rtl/>
      </w:rPr>
      <w:t>1</w:t>
    </w:r>
    <w:r w:rsidR="00C06989">
      <w:rPr>
        <w:sz w:val="24"/>
        <w:szCs w:val="24"/>
        <w:rtl/>
      </w:rPr>
      <w:t xml:space="preserve"> /139</w:t>
    </w:r>
    <w:r w:rsidR="006967B3">
      <w:rPr>
        <w:rFonts w:hint="cs"/>
        <w:sz w:val="24"/>
        <w:szCs w:val="24"/>
        <w:rtl/>
      </w:rPr>
      <w:t>6</w:t>
    </w:r>
  </w:p>
  <w:p w:rsidR="00FA3B17" w:rsidRPr="00F16B53" w:rsidRDefault="00935A55" w:rsidP="006967B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012294">
      <w:rPr>
        <w:rFonts w:hint="cs"/>
        <w:sz w:val="24"/>
        <w:szCs w:val="24"/>
        <w:rtl/>
      </w:rPr>
      <w:t>م</w:t>
    </w:r>
    <w:r w:rsidR="006967B3">
      <w:rPr>
        <w:rFonts w:hint="cs"/>
        <w:sz w:val="24"/>
        <w:szCs w:val="24"/>
        <w:rtl/>
      </w:rPr>
      <w:t>کروهات</w:t>
    </w:r>
    <w:r w:rsidR="00012294">
      <w:rPr>
        <w:rFonts w:hint="cs"/>
        <w:sz w:val="24"/>
        <w:szCs w:val="24"/>
        <w:rtl/>
      </w:rPr>
      <w:t xml:space="preserve">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w:t>
    </w:r>
    <w:r w:rsidR="006967B3">
      <w:rPr>
        <w:rFonts w:hint="cs"/>
        <w:sz w:val="24"/>
        <w:szCs w:val="24"/>
        <w:rtl/>
      </w:rPr>
      <w:t>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C7868"/>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967B3"/>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75A3D"/>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659C"/>
    <w:rsid w:val="009B79F8"/>
    <w:rsid w:val="009D13FD"/>
    <w:rsid w:val="009D266A"/>
    <w:rsid w:val="009D3DFD"/>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2B5A"/>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456AC"/>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B42F9-3D31-4F6F-A7BE-30AE27F8C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74</TotalTime>
  <Pages>6</Pages>
  <Words>1691</Words>
  <Characters>9641</Characters>
  <Application>Microsoft Office Word</Application>
  <DocSecurity>0</DocSecurity>
  <Lines>80</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11310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55</cp:revision>
  <cp:lastPrinted>2019-11-23T17:46:00Z</cp:lastPrinted>
  <dcterms:created xsi:type="dcterms:W3CDTF">2019-09-28T13:05:00Z</dcterms:created>
  <dcterms:modified xsi:type="dcterms:W3CDTF">2020-03-12T20:43:00Z</dcterms:modified>
</cp:coreProperties>
</file>