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8459A"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5108091" w:history="1">
        <w:r w:rsidR="00A8459A" w:rsidRPr="00CE5C3B">
          <w:rPr>
            <w:rStyle w:val="Hyperlink"/>
            <w:rFonts w:hint="eastAsia"/>
            <w:noProof/>
            <w:rtl/>
          </w:rPr>
          <w:t>ادامه</w:t>
        </w:r>
        <w:r w:rsidR="00A8459A" w:rsidRPr="00CE5C3B">
          <w:rPr>
            <w:rStyle w:val="Hyperlink"/>
            <w:noProof/>
            <w:rtl/>
          </w:rPr>
          <w:t xml:space="preserve"> </w:t>
        </w:r>
        <w:r w:rsidR="00A8459A" w:rsidRPr="00CE5C3B">
          <w:rPr>
            <w:rStyle w:val="Hyperlink"/>
            <w:rFonts w:hint="eastAsia"/>
            <w:noProof/>
            <w:rtl/>
          </w:rPr>
          <w:t>مسأله</w:t>
        </w:r>
        <w:r w:rsidR="00A8459A" w:rsidRPr="00CE5C3B">
          <w:rPr>
            <w:rStyle w:val="Hyperlink"/>
            <w:noProof/>
            <w:rtl/>
          </w:rPr>
          <w:t xml:space="preserve"> 6</w:t>
        </w:r>
        <w:r w:rsidR="00A8459A">
          <w:rPr>
            <w:noProof/>
            <w:webHidden/>
            <w:rtl/>
          </w:rPr>
          <w:tab/>
        </w:r>
        <w:r w:rsidR="00A8459A">
          <w:rPr>
            <w:noProof/>
            <w:webHidden/>
            <w:rtl/>
          </w:rPr>
          <w:fldChar w:fldCharType="begin"/>
        </w:r>
        <w:r w:rsidR="00A8459A">
          <w:rPr>
            <w:noProof/>
            <w:webHidden/>
            <w:rtl/>
          </w:rPr>
          <w:instrText xml:space="preserve"> </w:instrText>
        </w:r>
        <w:r w:rsidR="00A8459A">
          <w:rPr>
            <w:noProof/>
            <w:webHidden/>
          </w:rPr>
          <w:instrText>PAGEREF</w:instrText>
        </w:r>
        <w:r w:rsidR="00A8459A">
          <w:rPr>
            <w:noProof/>
            <w:webHidden/>
            <w:rtl/>
          </w:rPr>
          <w:instrText xml:space="preserve"> _</w:instrText>
        </w:r>
        <w:r w:rsidR="00A8459A">
          <w:rPr>
            <w:noProof/>
            <w:webHidden/>
          </w:rPr>
          <w:instrText>Toc</w:instrText>
        </w:r>
        <w:r w:rsidR="00A8459A">
          <w:rPr>
            <w:noProof/>
            <w:webHidden/>
            <w:rtl/>
          </w:rPr>
          <w:instrText xml:space="preserve">35108091 </w:instrText>
        </w:r>
        <w:r w:rsidR="00A8459A">
          <w:rPr>
            <w:noProof/>
            <w:webHidden/>
          </w:rPr>
          <w:instrText>\h</w:instrText>
        </w:r>
        <w:r w:rsidR="00A8459A">
          <w:rPr>
            <w:noProof/>
            <w:webHidden/>
            <w:rtl/>
          </w:rPr>
          <w:instrText xml:space="preserve"> </w:instrText>
        </w:r>
        <w:r w:rsidR="00A8459A">
          <w:rPr>
            <w:noProof/>
            <w:webHidden/>
            <w:rtl/>
          </w:rPr>
        </w:r>
        <w:r w:rsidR="00A8459A">
          <w:rPr>
            <w:noProof/>
            <w:webHidden/>
            <w:rtl/>
          </w:rPr>
          <w:fldChar w:fldCharType="separate"/>
        </w:r>
        <w:r w:rsidR="00A8459A">
          <w:rPr>
            <w:noProof/>
            <w:webHidden/>
            <w:rtl/>
          </w:rPr>
          <w:t>1</w:t>
        </w:r>
        <w:r w:rsidR="00A8459A">
          <w:rPr>
            <w:noProof/>
            <w:webHidden/>
            <w:rtl/>
          </w:rPr>
          <w:fldChar w:fldCharType="end"/>
        </w:r>
      </w:hyperlink>
    </w:p>
    <w:p w:rsidR="00A8459A" w:rsidRDefault="00A8459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108092" w:history="1">
        <w:r w:rsidRPr="00CE5C3B">
          <w:rPr>
            <w:rStyle w:val="Hyperlink"/>
            <w:rFonts w:hint="eastAsia"/>
            <w:noProof/>
            <w:rtl/>
          </w:rPr>
          <w:t>مسأله</w:t>
        </w:r>
        <w:r w:rsidRPr="00CE5C3B">
          <w:rPr>
            <w:rStyle w:val="Hyperlink"/>
            <w:noProof/>
            <w:rtl/>
          </w:rPr>
          <w:t xml:space="preserve"> 7: </w:t>
        </w:r>
        <w:r w:rsidRPr="00CE5C3B">
          <w:rPr>
            <w:rStyle w:val="Hyperlink"/>
            <w:rFonts w:hint="eastAsia"/>
            <w:noProof/>
            <w:rtl/>
          </w:rPr>
          <w:t>موارد</w:t>
        </w:r>
        <w:r w:rsidRPr="00CE5C3B">
          <w:rPr>
            <w:rStyle w:val="Hyperlink"/>
            <w:noProof/>
            <w:rtl/>
          </w:rPr>
          <w:t xml:space="preserve"> </w:t>
        </w:r>
        <w:r w:rsidRPr="00CE5C3B">
          <w:rPr>
            <w:rStyle w:val="Hyperlink"/>
            <w:rFonts w:hint="eastAsia"/>
            <w:noProof/>
            <w:rtl/>
          </w:rPr>
          <w:t>إستثناء</w:t>
        </w:r>
        <w:r w:rsidRPr="00CE5C3B">
          <w:rPr>
            <w:rStyle w:val="Hyperlink"/>
            <w:noProof/>
            <w:rtl/>
          </w:rPr>
          <w:t xml:space="preserve"> </w:t>
        </w:r>
        <w:r w:rsidRPr="00CE5C3B">
          <w:rPr>
            <w:rStyle w:val="Hyperlink"/>
            <w:rFonts w:hint="eastAsia"/>
            <w:noProof/>
            <w:rtl/>
          </w:rPr>
          <w:t>از</w:t>
        </w:r>
        <w:r w:rsidRPr="00CE5C3B">
          <w:rPr>
            <w:rStyle w:val="Hyperlink"/>
            <w:noProof/>
            <w:rtl/>
          </w:rPr>
          <w:t xml:space="preserve"> </w:t>
        </w:r>
        <w:r w:rsidRPr="00CE5C3B">
          <w:rPr>
            <w:rStyle w:val="Hyperlink"/>
            <w:rFonts w:hint="eastAsia"/>
            <w:noProof/>
            <w:rtl/>
          </w:rPr>
          <w:t>حرمت</w:t>
        </w:r>
        <w:r w:rsidRPr="00CE5C3B">
          <w:rPr>
            <w:rStyle w:val="Hyperlink"/>
            <w:noProof/>
            <w:rtl/>
          </w:rPr>
          <w:t xml:space="preserve"> </w:t>
        </w:r>
        <w:r w:rsidRPr="00CE5C3B">
          <w:rPr>
            <w:rStyle w:val="Hyperlink"/>
            <w:rFonts w:hint="eastAsia"/>
            <w:noProof/>
            <w:rtl/>
          </w:rPr>
          <w:t>نبش</w:t>
        </w:r>
        <w:r w:rsidRPr="00CE5C3B">
          <w:rPr>
            <w:rStyle w:val="Hyperlink"/>
            <w:noProof/>
            <w:rtl/>
          </w:rPr>
          <w:t xml:space="preserve"> </w:t>
        </w:r>
        <w:r w:rsidRPr="00CE5C3B">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35108092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8459A" w:rsidRDefault="00A8459A">
      <w:pPr>
        <w:pStyle w:val="TOC4"/>
        <w:tabs>
          <w:tab w:val="right" w:leader="dot" w:pos="10194"/>
        </w:tabs>
        <w:rPr>
          <w:rFonts w:asciiTheme="minorHAnsi" w:eastAsiaTheme="minorEastAsia" w:hAnsiTheme="minorHAnsi" w:cstheme="minorBidi"/>
          <w:bCs w:val="0"/>
          <w:noProof/>
          <w:color w:val="auto"/>
          <w:szCs w:val="22"/>
          <w:rtl/>
          <w:lang w:bidi="ar-SA"/>
        </w:rPr>
      </w:pPr>
      <w:hyperlink w:anchor="_Toc35108093" w:history="1">
        <w:r w:rsidRPr="00CE5C3B">
          <w:rPr>
            <w:rStyle w:val="Hyperlink"/>
            <w:rFonts w:hint="eastAsia"/>
            <w:noProof/>
            <w:rtl/>
          </w:rPr>
          <w:t>مورد</w:t>
        </w:r>
        <w:r w:rsidRPr="00CE5C3B">
          <w:rPr>
            <w:rStyle w:val="Hyperlink"/>
            <w:noProof/>
            <w:rtl/>
          </w:rPr>
          <w:t xml:space="preserve"> </w:t>
        </w:r>
        <w:r w:rsidRPr="00CE5C3B">
          <w:rPr>
            <w:rStyle w:val="Hyperlink"/>
            <w:rFonts w:hint="eastAsia"/>
            <w:noProof/>
            <w:rtl/>
          </w:rPr>
          <w:t>أوّل</w:t>
        </w:r>
        <w:r w:rsidRPr="00CE5C3B">
          <w:rPr>
            <w:rStyle w:val="Hyperlink"/>
            <w:noProof/>
            <w:rtl/>
          </w:rPr>
          <w:t xml:space="preserve">: </w:t>
        </w:r>
        <w:r w:rsidRPr="00CE5C3B">
          <w:rPr>
            <w:rStyle w:val="Hyperlink"/>
            <w:rFonts w:hint="eastAsia"/>
            <w:noProof/>
            <w:rtl/>
          </w:rPr>
          <w:t>دفن</w:t>
        </w:r>
        <w:r w:rsidRPr="00CE5C3B">
          <w:rPr>
            <w:rStyle w:val="Hyperlink"/>
            <w:noProof/>
            <w:rtl/>
          </w:rPr>
          <w:t xml:space="preserve"> </w:t>
        </w:r>
        <w:r w:rsidRPr="00CE5C3B">
          <w:rPr>
            <w:rStyle w:val="Hyperlink"/>
            <w:rFonts w:hint="eastAsia"/>
            <w:noProof/>
            <w:rtl/>
          </w:rPr>
          <w:t>در</w:t>
        </w:r>
        <w:r w:rsidRPr="00CE5C3B">
          <w:rPr>
            <w:rStyle w:val="Hyperlink"/>
            <w:noProof/>
            <w:rtl/>
          </w:rPr>
          <w:t xml:space="preserve"> </w:t>
        </w:r>
        <w:r w:rsidRPr="00CE5C3B">
          <w:rPr>
            <w:rStyle w:val="Hyperlink"/>
            <w:rFonts w:hint="eastAsia"/>
            <w:noProof/>
            <w:rtl/>
          </w:rPr>
          <w:t>مکان</w:t>
        </w:r>
        <w:r w:rsidRPr="00CE5C3B">
          <w:rPr>
            <w:rStyle w:val="Hyperlink"/>
            <w:noProof/>
            <w:rtl/>
          </w:rPr>
          <w:t xml:space="preserve"> </w:t>
        </w:r>
        <w:r w:rsidRPr="00CE5C3B">
          <w:rPr>
            <w:rStyle w:val="Hyperlink"/>
            <w:rFonts w:hint="eastAsia"/>
            <w:noProof/>
            <w:rtl/>
          </w:rPr>
          <w:t>غصب</w:t>
        </w:r>
        <w:r w:rsidRPr="00CE5C3B">
          <w:rPr>
            <w:rStyle w:val="Hyperlink"/>
            <w:rFonts w:hint="cs"/>
            <w:noProof/>
            <w:rtl/>
          </w:rPr>
          <w:t>ی</w:t>
        </w:r>
        <w:r w:rsidRPr="00CE5C3B">
          <w:rPr>
            <w:rStyle w:val="Hyperlink"/>
            <w:rFonts w:hint="eastAsia"/>
            <w:noProof/>
            <w:rtl/>
          </w:rPr>
          <w:t>،</w:t>
        </w:r>
        <w:r w:rsidRPr="00CE5C3B">
          <w:rPr>
            <w:rStyle w:val="Hyperlink"/>
            <w:noProof/>
            <w:rtl/>
          </w:rPr>
          <w:t xml:space="preserve"> </w:t>
        </w:r>
        <w:r w:rsidRPr="00CE5C3B">
          <w:rPr>
            <w:rStyle w:val="Hyperlink"/>
            <w:rFonts w:hint="eastAsia"/>
            <w:noProof/>
            <w:rtl/>
          </w:rPr>
          <w:t>دفن</w:t>
        </w:r>
        <w:r w:rsidRPr="00CE5C3B">
          <w:rPr>
            <w:rStyle w:val="Hyperlink"/>
            <w:noProof/>
            <w:rtl/>
          </w:rPr>
          <w:t xml:space="preserve"> </w:t>
        </w:r>
        <w:r w:rsidRPr="00CE5C3B">
          <w:rPr>
            <w:rStyle w:val="Hyperlink"/>
            <w:rFonts w:hint="eastAsia"/>
            <w:noProof/>
            <w:rtl/>
          </w:rPr>
          <w:t>همراه</w:t>
        </w:r>
        <w:r w:rsidRPr="00CE5C3B">
          <w:rPr>
            <w:rStyle w:val="Hyperlink"/>
            <w:noProof/>
            <w:rtl/>
          </w:rPr>
          <w:t xml:space="preserve"> </w:t>
        </w:r>
        <w:r w:rsidRPr="00CE5C3B">
          <w:rPr>
            <w:rStyle w:val="Hyperlink"/>
            <w:rFonts w:hint="eastAsia"/>
            <w:noProof/>
            <w:rtl/>
          </w:rPr>
          <w:t>با</w:t>
        </w:r>
        <w:r w:rsidRPr="00CE5C3B">
          <w:rPr>
            <w:rStyle w:val="Hyperlink"/>
            <w:noProof/>
            <w:rtl/>
          </w:rPr>
          <w:t xml:space="preserve"> </w:t>
        </w:r>
        <w:r w:rsidRPr="00CE5C3B">
          <w:rPr>
            <w:rStyle w:val="Hyperlink"/>
            <w:rFonts w:hint="eastAsia"/>
            <w:noProof/>
            <w:rtl/>
          </w:rPr>
          <w:t>کفن</w:t>
        </w:r>
        <w:r w:rsidRPr="00CE5C3B">
          <w:rPr>
            <w:rStyle w:val="Hyperlink"/>
            <w:noProof/>
            <w:rtl/>
          </w:rPr>
          <w:t xml:space="preserve"> </w:t>
        </w:r>
        <w:r w:rsidRPr="00CE5C3B">
          <w:rPr>
            <w:rStyle w:val="Hyperlink"/>
            <w:rFonts w:hint="cs"/>
            <w:noProof/>
            <w:rtl/>
          </w:rPr>
          <w:t>ی</w:t>
        </w:r>
        <w:r w:rsidRPr="00CE5C3B">
          <w:rPr>
            <w:rStyle w:val="Hyperlink"/>
            <w:rFonts w:hint="eastAsia"/>
            <w:noProof/>
            <w:rtl/>
          </w:rPr>
          <w:t>ا</w:t>
        </w:r>
        <w:r w:rsidRPr="00CE5C3B">
          <w:rPr>
            <w:rStyle w:val="Hyperlink"/>
            <w:noProof/>
            <w:rtl/>
          </w:rPr>
          <w:t xml:space="preserve"> </w:t>
        </w:r>
        <w:r w:rsidRPr="00CE5C3B">
          <w:rPr>
            <w:rStyle w:val="Hyperlink"/>
            <w:rFonts w:hint="eastAsia"/>
            <w:noProof/>
            <w:rtl/>
          </w:rPr>
          <w:t>مال</w:t>
        </w:r>
        <w:r w:rsidRPr="00CE5C3B">
          <w:rPr>
            <w:rStyle w:val="Hyperlink"/>
            <w:noProof/>
            <w:rtl/>
          </w:rPr>
          <w:t xml:space="preserve"> </w:t>
        </w:r>
        <w:r w:rsidRPr="00CE5C3B">
          <w:rPr>
            <w:rStyle w:val="Hyperlink"/>
            <w:rFonts w:hint="eastAsia"/>
            <w:noProof/>
            <w:rtl/>
          </w:rPr>
          <w:t>غصب</w:t>
        </w:r>
        <w:r w:rsidRPr="00CE5C3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35108093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8459A" w:rsidRDefault="00A8459A">
      <w:pPr>
        <w:pStyle w:val="TOC5"/>
        <w:tabs>
          <w:tab w:val="right" w:leader="dot" w:pos="10194"/>
        </w:tabs>
        <w:rPr>
          <w:rFonts w:asciiTheme="minorHAnsi" w:eastAsiaTheme="minorEastAsia" w:hAnsiTheme="minorHAnsi" w:cstheme="minorBidi"/>
          <w:bCs w:val="0"/>
          <w:noProof/>
          <w:color w:val="auto"/>
          <w:szCs w:val="22"/>
          <w:rtl/>
          <w:lang w:bidi="ar-SA"/>
        </w:rPr>
      </w:pPr>
      <w:hyperlink w:anchor="_Toc35108094" w:history="1">
        <w:r w:rsidRPr="00CE5C3B">
          <w:rPr>
            <w:rStyle w:val="Hyperlink"/>
            <w:rFonts w:hint="eastAsia"/>
            <w:noProof/>
            <w:rtl/>
          </w:rPr>
          <w:t>دفن</w:t>
        </w:r>
        <w:r w:rsidRPr="00CE5C3B">
          <w:rPr>
            <w:rStyle w:val="Hyperlink"/>
            <w:noProof/>
            <w:rtl/>
          </w:rPr>
          <w:t xml:space="preserve"> </w:t>
        </w:r>
        <w:r w:rsidRPr="00CE5C3B">
          <w:rPr>
            <w:rStyle w:val="Hyperlink"/>
            <w:rFonts w:hint="eastAsia"/>
            <w:noProof/>
            <w:rtl/>
          </w:rPr>
          <w:t>م</w:t>
        </w:r>
        <w:r w:rsidRPr="00CE5C3B">
          <w:rPr>
            <w:rStyle w:val="Hyperlink"/>
            <w:rFonts w:hint="cs"/>
            <w:noProof/>
            <w:rtl/>
          </w:rPr>
          <w:t>یّ</w:t>
        </w:r>
        <w:r w:rsidRPr="00CE5C3B">
          <w:rPr>
            <w:rStyle w:val="Hyperlink"/>
            <w:rFonts w:hint="eastAsia"/>
            <w:noProof/>
            <w:rtl/>
          </w:rPr>
          <w:t>ت</w:t>
        </w:r>
        <w:r w:rsidRPr="00CE5C3B">
          <w:rPr>
            <w:rStyle w:val="Hyperlink"/>
            <w:noProof/>
            <w:rtl/>
          </w:rPr>
          <w:t xml:space="preserve"> </w:t>
        </w:r>
        <w:r w:rsidRPr="00CE5C3B">
          <w:rPr>
            <w:rStyle w:val="Hyperlink"/>
            <w:rFonts w:hint="eastAsia"/>
            <w:noProof/>
            <w:rtl/>
          </w:rPr>
          <w:t>در</w:t>
        </w:r>
        <w:r w:rsidRPr="00CE5C3B">
          <w:rPr>
            <w:rStyle w:val="Hyperlink"/>
            <w:noProof/>
            <w:rtl/>
          </w:rPr>
          <w:t xml:space="preserve"> </w:t>
        </w:r>
        <w:r w:rsidRPr="00CE5C3B">
          <w:rPr>
            <w:rStyle w:val="Hyperlink"/>
            <w:rFonts w:hint="eastAsia"/>
            <w:noProof/>
            <w:rtl/>
          </w:rPr>
          <w:t>مکان</w:t>
        </w:r>
        <w:r w:rsidRPr="00CE5C3B">
          <w:rPr>
            <w:rStyle w:val="Hyperlink"/>
            <w:noProof/>
            <w:rtl/>
          </w:rPr>
          <w:t xml:space="preserve"> </w:t>
        </w:r>
        <w:r w:rsidRPr="00CE5C3B">
          <w:rPr>
            <w:rStyle w:val="Hyperlink"/>
            <w:rFonts w:hint="eastAsia"/>
            <w:noProof/>
            <w:rtl/>
          </w:rPr>
          <w:t>غصب</w:t>
        </w:r>
        <w:r w:rsidRPr="00CE5C3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35108094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545F3C">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w:t>
      </w:r>
      <w:bookmarkStart w:id="11" w:name="_GoBack"/>
      <w:bookmarkEnd w:id="11"/>
      <w:r w:rsidRPr="00676A67">
        <w:rPr>
          <w:rFonts w:ascii="Noor_Lotus" w:hAnsi="Noor_Lotus" w:cs="B Lotus" w:hint="cs"/>
          <w:sz w:val="28"/>
          <w:rtl/>
          <w:lang w:bidi="ar-SA"/>
        </w:rPr>
        <w:t>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545F3C">
        <w:rPr>
          <w:rFonts w:ascii="Noor_Lotus" w:hAnsi="Noor_Lotus" w:cs="B Lotus" w:hint="cs"/>
          <w:sz w:val="28"/>
          <w:rtl/>
          <w:lang w:bidi="ar-SA"/>
        </w:rPr>
        <w:t xml:space="preserve">     </w:t>
      </w:r>
      <w:r w:rsidR="00545F3C">
        <w:rPr>
          <w:rFonts w:ascii="Noor_Lotus" w:hAnsi="Noor_Lotus" w:cs="B Lotus" w:hint="cs"/>
          <w:sz w:val="28"/>
          <w:rtl/>
          <w:lang w:bidi="ar-SA"/>
        </w:rPr>
        <w:tab/>
      </w:r>
      <w:r w:rsidR="00545F3C">
        <w:rPr>
          <w:rFonts w:ascii="Noor_Lotus" w:hAnsi="Noor_Lotus" w:cs="B Lotus" w:hint="cs"/>
          <w:sz w:val="28"/>
          <w:rtl/>
          <w:lang w:bidi="ar-SA"/>
        </w:rPr>
        <w:tab/>
      </w:r>
      <w:r w:rsidR="00545F3C">
        <w:rPr>
          <w:rFonts w:ascii="Noor_Lotus" w:hAnsi="Noor_Lotus" w:cs="B Lotus" w:hint="cs"/>
          <w:sz w:val="28"/>
          <w:rtl/>
          <w:lang w:bidi="ar-SA"/>
        </w:rPr>
        <w:tab/>
        <w:t>16</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545F3C">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545F3C">
        <w:rPr>
          <w:rFonts w:ascii="Noor_Lotus" w:hAnsi="Noor_Lotus" w:cs="B Lotus" w:hint="cs"/>
          <w:sz w:val="28"/>
          <w:rtl/>
          <w:lang w:bidi="ar-SA"/>
        </w:rPr>
        <w:t>12</w:t>
      </w:r>
      <w:r>
        <w:rPr>
          <w:rFonts w:ascii="Noor_Lotus" w:hAnsi="Noor_Lotus" w:cs="B Lotus" w:hint="cs"/>
          <w:sz w:val="28"/>
          <w:rtl/>
          <w:lang w:bidi="ar-SA"/>
        </w:rPr>
        <w:t xml:space="preserve"> </w:t>
      </w:r>
    </w:p>
    <w:p w:rsidR="00545F3C" w:rsidRDefault="00545F3C" w:rsidP="00545F3C">
      <w:pPr>
        <w:pStyle w:val="Heading3"/>
        <w:rPr>
          <w:rFonts w:hint="cs"/>
          <w:rtl/>
        </w:rPr>
      </w:pPr>
      <w:bookmarkStart w:id="12" w:name="_Toc35108091"/>
      <w:r>
        <w:rPr>
          <w:rFonts w:hint="cs"/>
          <w:rtl/>
        </w:rPr>
        <w:t>ادامه مسأله 6</w:t>
      </w:r>
      <w:bookmarkEnd w:id="12"/>
    </w:p>
    <w:p w:rsidR="00545F3C" w:rsidRDefault="00545F3C" w:rsidP="00A8459A">
      <w:pPr>
        <w:rPr>
          <w:rFonts w:hint="cs"/>
          <w:rtl/>
        </w:rPr>
      </w:pPr>
      <w:r>
        <w:rPr>
          <w:rFonts w:hint="cs"/>
          <w:rtl/>
        </w:rPr>
        <w:t>مرحوم سیّد فرمود که برای جواز نبش قبر، علم به إندارس، لازم است؛ و ظنّ کافی نیست. اینکه ظنّ کافی نیست، چون «إنّ الظنّ لا یغنی من الحقّ شیئاً». طریقیّت ظنّ، نیاز به دلیل بر حجیّت دارد؛ و دلیلی بر حجیّت ظنّ به نحو اطلاق نداریم. مگر اینکه کسی در موضوعات، انسدادی باشد. مرحوم شیخ انصاری حدّ أقل در یک جای رسائل به این مطلب اشاره کرده است که نمی</w:t>
      </w:r>
      <w:r>
        <w:rPr>
          <w:rFonts w:hint="cs"/>
          <w:rtl/>
        </w:rPr>
        <w:softHyphen/>
        <w:t>شود در موضوعات علم پیدا کرد؛ مثل علم به عدالت شخص، علم به مذکّی بودن، و علم به طهارت شیء.</w:t>
      </w:r>
    </w:p>
    <w:p w:rsidR="00545F3C" w:rsidRDefault="00545F3C" w:rsidP="00A8459A">
      <w:pPr>
        <w:rPr>
          <w:rFonts w:hint="cs"/>
          <w:rtl/>
        </w:rPr>
      </w:pPr>
      <w:r>
        <w:rPr>
          <w:rFonts w:hint="cs"/>
          <w:rtl/>
        </w:rPr>
        <w:t>ما هم گفتیم در موضوعات، باب علم مسدود است. و یک منبّهاتی را هم آوردیم. مثلاً در مورد قبله که از موضوعات است، در روایت فرموده ظنّ کفایت می</w:t>
      </w:r>
      <w:r>
        <w:rPr>
          <w:rtl/>
        </w:rPr>
        <w:softHyphen/>
      </w:r>
      <w:r>
        <w:rPr>
          <w:rFonts w:hint="cs"/>
          <w:rtl/>
        </w:rPr>
        <w:t>کند «یجزی التحرّی». اینها را هم گفتیم اینکه در نماز شک کردیم بنا را بر مظنون بگذارد، علی القاعده است، و نیاز به روایت ندارد.</w:t>
      </w:r>
    </w:p>
    <w:p w:rsidR="00545F3C" w:rsidRDefault="00545F3C" w:rsidP="00A8459A">
      <w:pPr>
        <w:rPr>
          <w:rFonts w:hint="cs"/>
          <w:rtl/>
        </w:rPr>
      </w:pPr>
      <w:r>
        <w:rPr>
          <w:rFonts w:hint="cs"/>
          <w:rtl/>
        </w:rPr>
        <w:t>مرحوم سیّد فرمود ظنّ کافی نیست، حتّی بر مبنای کسانی که ظنّ را در موضوعات حجّت می</w:t>
      </w:r>
      <w:r>
        <w:rPr>
          <w:rtl/>
        </w:rPr>
        <w:softHyphen/>
      </w:r>
      <w:r>
        <w:rPr>
          <w:rFonts w:hint="cs"/>
          <w:rtl/>
        </w:rPr>
        <w:t>دانند، باز در اینجا ظنّ کفایت نمی</w:t>
      </w:r>
      <w:r>
        <w:rPr>
          <w:rtl/>
        </w:rPr>
        <w:softHyphen/>
      </w:r>
      <w:r>
        <w:rPr>
          <w:rFonts w:hint="cs"/>
          <w:rtl/>
        </w:rPr>
        <w:t>کند. در این مسأله، یک خصوصیّتی هست که ظنّ کفایت نمی</w:t>
      </w:r>
      <w:r>
        <w:rPr>
          <w:rtl/>
        </w:rPr>
        <w:softHyphen/>
      </w:r>
      <w:r>
        <w:rPr>
          <w:rFonts w:hint="cs"/>
          <w:rtl/>
        </w:rPr>
        <w:t>کند. که الآن از آن خصوصیّت بحث خواهیم.</w:t>
      </w:r>
    </w:p>
    <w:p w:rsidR="00545F3C" w:rsidRDefault="00545F3C" w:rsidP="00A8459A">
      <w:pPr>
        <w:rPr>
          <w:rFonts w:hint="cs"/>
          <w:rtl/>
        </w:rPr>
      </w:pPr>
      <w:r>
        <w:rPr>
          <w:rFonts w:hint="cs"/>
          <w:rtl/>
        </w:rPr>
        <w:t>حال که ظنّ کفایت نمی</w:t>
      </w:r>
      <w:r>
        <w:rPr>
          <w:rFonts w:hint="cs"/>
          <w:rtl/>
        </w:rPr>
        <w:softHyphen/>
        <w:t>کند، آیا استصحاب در اینجا مجال دارد، یا مجال ندارد؟ به این تقریب وقتی که این میّت را در قبر گذاشتیم، هنوز میّت بود، و جسمش موجود بود؛ الآن شک داریم آیا إندارس پیدا کرده و تبدیل به خاک شده است یا نه. در موارد استحاله، یک بحثی هست که اگر شک کردیم آیا می</w:t>
      </w:r>
      <w:r>
        <w:rPr>
          <w:rtl/>
        </w:rPr>
        <w:softHyphen/>
      </w:r>
      <w:r>
        <w:rPr>
          <w:rFonts w:hint="cs"/>
          <w:rtl/>
        </w:rPr>
        <w:t>توان استصحاب کرد یا نه. که یکی از مواردش همین بحث است. که استصحاب بگوید هنوز میّت باقی است، پس نبش آن حرام است.</w:t>
      </w:r>
    </w:p>
    <w:p w:rsidR="00545F3C" w:rsidRDefault="00545F3C" w:rsidP="00A8459A">
      <w:pPr>
        <w:rPr>
          <w:rFonts w:hint="cs"/>
          <w:rtl/>
        </w:rPr>
      </w:pPr>
      <w:r>
        <w:rPr>
          <w:rFonts w:hint="cs"/>
          <w:rtl/>
        </w:rPr>
        <w:lastRenderedPageBreak/>
        <w:t>فرموده</w:t>
      </w:r>
      <w:r>
        <w:rPr>
          <w:rtl/>
        </w:rPr>
        <w:softHyphen/>
      </w:r>
      <w:r>
        <w:rPr>
          <w:rFonts w:hint="cs"/>
          <w:rtl/>
        </w:rPr>
        <w:t>اند در اینجا، استصحاب مجال ندارد؛ چون در استصحاب، مستصحب یا باید حکم شرعی، یا موضوع حکم شرعی باشد. ما باید ابتداءً ببینیم که موضوع حکم شرعی در اینجا چیست. در اینکه موضوع چیست، باید به دلیل حرمت نگاه کرد؛. یک دلیل بر حرمت، اجماع بود؛ و دلیل دیگر، أدلّه لفظیّه، به دو تقریب بود؛ و دلیل سوم هم قضیّه هتک بود.</w:t>
      </w:r>
    </w:p>
    <w:p w:rsidR="00545F3C" w:rsidRDefault="00545F3C" w:rsidP="00A8459A">
      <w:pPr>
        <w:rPr>
          <w:rFonts w:hint="cs"/>
          <w:rtl/>
        </w:rPr>
      </w:pPr>
      <w:r>
        <w:rPr>
          <w:rFonts w:hint="cs"/>
          <w:rtl/>
        </w:rPr>
        <w:t>اما اگر دلیل ما اجماع باشد، اگر نگوئیم هیچ گاه، غالباً موضوع شرعی را برای ما بیان نمی</w:t>
      </w:r>
      <w:r>
        <w:rPr>
          <w:rtl/>
        </w:rPr>
        <w:softHyphen/>
      </w:r>
      <w:r>
        <w:rPr>
          <w:rFonts w:hint="cs"/>
          <w:rtl/>
        </w:rPr>
        <w:t>کند. ألسنه مُجمعِین، فقط حکم را برای ما بیان می</w:t>
      </w:r>
      <w:r>
        <w:rPr>
          <w:rtl/>
        </w:rPr>
        <w:softHyphen/>
      </w:r>
      <w:r>
        <w:rPr>
          <w:rFonts w:hint="cs"/>
          <w:rtl/>
        </w:rPr>
        <w:t>کند؛ اما اینکه شارع به چه لسانی گفته است، از عهده اجماع برنمی</w:t>
      </w:r>
      <w:r>
        <w:rPr>
          <w:rtl/>
        </w:rPr>
        <w:softHyphen/>
      </w:r>
      <w:r>
        <w:rPr>
          <w:rFonts w:hint="cs"/>
          <w:rtl/>
        </w:rPr>
        <w:t>آید. فقط می</w:t>
      </w:r>
      <w:r>
        <w:rPr>
          <w:rtl/>
        </w:rPr>
        <w:softHyphen/>
      </w:r>
      <w:r>
        <w:rPr>
          <w:rFonts w:hint="cs"/>
          <w:rtl/>
        </w:rPr>
        <w:t>دانیم که این کار حرام است؛ ظاهراً تسالم و اجماع مسلمین است؛ اگر دلیل ما اجماع باشد، نمی</w:t>
      </w:r>
      <w:r>
        <w:rPr>
          <w:rtl/>
        </w:rPr>
        <w:softHyphen/>
      </w:r>
      <w:r>
        <w:rPr>
          <w:rFonts w:hint="cs"/>
          <w:rtl/>
        </w:rPr>
        <w:t>دانیم موضوع ما چیست، و مردّد است.</w:t>
      </w:r>
    </w:p>
    <w:p w:rsidR="00545F3C" w:rsidRDefault="00545F3C" w:rsidP="00A8459A">
      <w:pPr>
        <w:rPr>
          <w:rFonts w:hint="cs"/>
          <w:rtl/>
        </w:rPr>
      </w:pPr>
      <w:r>
        <w:rPr>
          <w:rFonts w:hint="cs"/>
          <w:rtl/>
        </w:rPr>
        <w:t>اما اگر دلیل ما حرمت هتک باشد، باید ببینیم که چه چیزی مصداق هتک است؛ و نبش، مصداق هتک نیست. آنی که مصداق هتک است، إظهار میّت است؛ اینکه سترش را از بین ببریم، و میّت ظاهر بشود، هتک است. شکافتن قبر، هتک نیست؛ و آنی که هتک است، ملازم شکافتن است که إظهار میّت است. وقتی اظهار، مصداق هتک شد، استصحاب مجال ندارد. اینکه با استصحاب بگوئید هنوز میّت باقی است، ثابت نمی</w:t>
      </w:r>
      <w:r>
        <w:rPr>
          <w:rFonts w:hint="cs"/>
          <w:rtl/>
        </w:rPr>
        <w:softHyphen/>
        <w:t>کند که کار شما اظهار میّت است. إظهار میّت، لازمه عقلی بقاء المیّت است.</w:t>
      </w:r>
    </w:p>
    <w:p w:rsidR="00545F3C" w:rsidRDefault="00545F3C" w:rsidP="00A8459A">
      <w:pPr>
        <w:rPr>
          <w:rFonts w:hint="cs"/>
          <w:rtl/>
        </w:rPr>
      </w:pPr>
      <w:r>
        <w:rPr>
          <w:rFonts w:hint="cs"/>
          <w:rtl/>
        </w:rPr>
        <w:t>و اگر دلیل ما همان أدلّه</w:t>
      </w:r>
      <w:r>
        <w:rPr>
          <w:rtl/>
        </w:rPr>
        <w:softHyphen/>
      </w:r>
      <w:r>
        <w:rPr>
          <w:rFonts w:hint="cs"/>
          <w:rtl/>
        </w:rPr>
        <w:t>ی «إدفنوا موتاکم» باشد؛ حال به تقریب صاحب جواهر که می</w:t>
      </w:r>
      <w:r>
        <w:rPr>
          <w:rtl/>
        </w:rPr>
        <w:softHyphen/>
      </w:r>
      <w:r>
        <w:rPr>
          <w:rFonts w:hint="cs"/>
          <w:rtl/>
        </w:rPr>
        <w:t>گفت اطلاق أزمانی دارند؛ یا به تقریبی که ما عرض کردیم که «إدفنوا موتاکم» یعنی دفنش بکنید، و همین مستوریّت ادامه داشته باشد. موضوع ما دفن و مستوریّت میّت می</w:t>
      </w:r>
      <w:r>
        <w:rPr>
          <w:rtl/>
        </w:rPr>
        <w:softHyphen/>
      </w:r>
      <w:r>
        <w:rPr>
          <w:rFonts w:hint="cs"/>
          <w:rtl/>
        </w:rPr>
        <w:t>شود؛ باز استصحاب بقای جسم میّت، ثابت نمی</w:t>
      </w:r>
      <w:r>
        <w:rPr>
          <w:rtl/>
        </w:rPr>
        <w:softHyphen/>
      </w:r>
      <w:r>
        <w:rPr>
          <w:rFonts w:hint="cs"/>
          <w:rtl/>
        </w:rPr>
        <w:t>کند که مستوریّتش واجب است؛ تا کار شما خلاف این واجب باشد. استصحاب بقاء میّت، ثابت نمی</w:t>
      </w:r>
      <w:r>
        <w:rPr>
          <w:rFonts w:hint="cs"/>
          <w:rtl/>
        </w:rPr>
        <w:softHyphen/>
        <w:t>کند اگر الآن این را بشکافید، اظهار میّت و عصیان دفن میّت است. استصحاب بقاء میّت، لازمه عقلی</w:t>
      </w:r>
      <w:r>
        <w:rPr>
          <w:rtl/>
        </w:rPr>
        <w:softHyphen/>
      </w:r>
      <w:r>
        <w:rPr>
          <w:rFonts w:hint="cs"/>
          <w:rtl/>
        </w:rPr>
        <w:t>اش این است که این اظهار است، و خلاف إدفنوا موتاکم است.</w:t>
      </w:r>
    </w:p>
    <w:p w:rsidR="00545F3C" w:rsidRDefault="00545F3C" w:rsidP="00A8459A">
      <w:pPr>
        <w:rPr>
          <w:rFonts w:hint="cs"/>
          <w:rtl/>
        </w:rPr>
      </w:pPr>
      <w:r>
        <w:rPr>
          <w:rFonts w:hint="cs"/>
          <w:rtl/>
        </w:rPr>
        <w:t xml:space="preserve">حاصل الکلام: اینجور نیست </w:t>
      </w:r>
      <w:r w:rsidRPr="00FF475F">
        <w:rPr>
          <w:rFonts w:hint="cs"/>
          <w:rtl/>
        </w:rPr>
        <w:t>که کسی بگوید موضوع ما نبش قبر مؤمن است، تا شما بگوئید نبش بالوجدان است و مؤمن هم بالإستصحاب است، فیحرم. و لو در</w:t>
      </w:r>
      <w:r>
        <w:rPr>
          <w:rFonts w:hint="cs"/>
          <w:rtl/>
        </w:rPr>
        <w:t xml:space="preserve"> کلمات آمده است، ولی معلوم نیست که شارع مقدّس  حرمت را برای چه جعل کرده است. چون محتمل است که موضوع، اظهار باشد؛ یا مستوریّت باشد؛ یا خلاف دفن باشد؛ و اینها لوازم بقای میّت هستند؛ پس استصحاب بقای میّت اثر شرعی ندارد. اگر صورتی داشته باشد، در صورتی است که موضوع، نبش قبر مؤمن باشد؛ و چون این محرز نیست، مجالی برای  استصحاب نیست. مثل اینکه خمر بود، الآن هم هست، فیحرم شربه نیست؛ که البته این مثال هم گیر دارد.</w:t>
      </w:r>
    </w:p>
    <w:p w:rsidR="00545F3C" w:rsidRPr="00BF7D8C" w:rsidRDefault="00545F3C" w:rsidP="00A8459A">
      <w:pPr>
        <w:rPr>
          <w:rFonts w:hint="cs"/>
          <w:rtl/>
        </w:rPr>
      </w:pPr>
      <w:r>
        <w:rPr>
          <w:rFonts w:hint="cs"/>
          <w:rtl/>
        </w:rPr>
        <w:t>ثانیاً بلکه اگر هم در اینجا استصحاب مجال داشته باشد؛ مثل اینکه ظنّ در موضوعات در اینجا موضوع داشته باشد؛ باز می</w:t>
      </w:r>
      <w:r>
        <w:rPr>
          <w:rtl/>
        </w:rPr>
        <w:softHyphen/>
      </w:r>
      <w:r>
        <w:rPr>
          <w:rFonts w:hint="cs"/>
          <w:rtl/>
        </w:rPr>
        <w:t>گوئیم اینجا مجالی برای استصحاب و عمل به ظنّ نیست. چون در جائی که شک داریم که آیا مندرس شده است یا نه؛ مع الشّک، عرف این عمل را هتک و إهانت می</w:t>
      </w:r>
      <w:r>
        <w:rPr>
          <w:rtl/>
        </w:rPr>
        <w:softHyphen/>
      </w:r>
      <w:r>
        <w:rPr>
          <w:rFonts w:hint="cs"/>
          <w:rtl/>
        </w:rPr>
        <w:t xml:space="preserve">داند. چه جور در جائی که مزار شده، با اینکه قطعاً مندرس شده است، عرف </w:t>
      </w:r>
      <w:r w:rsidRPr="00BF7D8C">
        <w:rPr>
          <w:rFonts w:hint="cs"/>
          <w:rtl/>
        </w:rPr>
        <w:t>هتک می</w:t>
      </w:r>
      <w:r w:rsidRPr="00BF7D8C">
        <w:rPr>
          <w:rtl/>
        </w:rPr>
        <w:softHyphen/>
      </w:r>
      <w:r w:rsidRPr="00BF7D8C">
        <w:rPr>
          <w:rFonts w:hint="cs"/>
          <w:rtl/>
        </w:rPr>
        <w:t>داند؛ مع الظّن و مع الشّک عرف، هتک می</w:t>
      </w:r>
      <w:r w:rsidRPr="00BF7D8C">
        <w:rPr>
          <w:rtl/>
        </w:rPr>
        <w:softHyphen/>
      </w:r>
      <w:r w:rsidRPr="00BF7D8C">
        <w:rPr>
          <w:rFonts w:hint="cs"/>
          <w:rtl/>
        </w:rPr>
        <w:t>داند.</w:t>
      </w:r>
    </w:p>
    <w:p w:rsidR="00545F3C" w:rsidRDefault="00545F3C" w:rsidP="00A8459A">
      <w:pPr>
        <w:rPr>
          <w:rFonts w:hint="cs"/>
          <w:rtl/>
        </w:rPr>
      </w:pPr>
      <w:r w:rsidRPr="00BF7D8C">
        <w:rPr>
          <w:rFonts w:hint="cs"/>
          <w:rtl/>
        </w:rPr>
        <w:lastRenderedPageBreak/>
        <w:t xml:space="preserve">بعید نیست اینکه مرحوم سیّد فرموده مع الشّک، حرام است؛ از باب هتک </w:t>
      </w:r>
      <w:r>
        <w:rPr>
          <w:rFonts w:hint="cs"/>
          <w:rtl/>
        </w:rPr>
        <w:t>باشد</w:t>
      </w:r>
      <w:r w:rsidRPr="00BF7D8C">
        <w:rPr>
          <w:rFonts w:hint="cs"/>
          <w:rtl/>
        </w:rPr>
        <w:t>. و هتک در جائی منتفی است که علم به اندارس داشته باشید، و هتک هم نباشد؛ اما اگر علم به اندارس نداشته باشیم، و لو استصحاب مجال داشته باشد، و ظن هم حجّت باشد؛ لا یبعد که بدون</w:t>
      </w:r>
      <w:r>
        <w:rPr>
          <w:rFonts w:hint="cs"/>
          <w:rtl/>
        </w:rPr>
        <w:t xml:space="preserve"> علم، این عمل، هتک میّت حساب می</w:t>
      </w:r>
      <w:r>
        <w:rPr>
          <w:rtl/>
        </w:rPr>
        <w:softHyphen/>
      </w:r>
      <w:r>
        <w:rPr>
          <w:rFonts w:hint="cs"/>
          <w:rtl/>
        </w:rPr>
        <w:t>شود. این است که و لو استصحاب، مجال داشته باشد؛ و عمل به ظنّ مجال داشته باشد؛ نه از راه استصحاب و نه از راه ظنّ انسدادی، نمی</w:t>
      </w:r>
      <w:r>
        <w:rPr>
          <w:rtl/>
        </w:rPr>
        <w:softHyphen/>
      </w:r>
      <w:r>
        <w:rPr>
          <w:rFonts w:hint="cs"/>
          <w:rtl/>
        </w:rPr>
        <w:t>توان نبش قبر مؤمن را تجویز کرد؛ إلّا مع العلم بالإندارس.</w:t>
      </w:r>
    </w:p>
    <w:p w:rsidR="00545F3C" w:rsidRDefault="00545F3C" w:rsidP="00A8459A">
      <w:pPr>
        <w:rPr>
          <w:rFonts w:hint="cs"/>
          <w:rtl/>
        </w:rPr>
      </w:pPr>
      <w:r>
        <w:rPr>
          <w:rFonts w:hint="cs"/>
          <w:rtl/>
        </w:rPr>
        <w:t>در ادامه مرحوم سیّد فرموده اگر استخوان</w:t>
      </w:r>
      <w:r>
        <w:rPr>
          <w:rtl/>
        </w:rPr>
        <w:softHyphen/>
      </w:r>
      <w:r>
        <w:rPr>
          <w:rFonts w:hint="cs"/>
          <w:rtl/>
        </w:rPr>
        <w:t>هایش باقی مانده است، الآن نبش قبر مؤمن صدق می</w:t>
      </w:r>
      <w:r>
        <w:rPr>
          <w:rtl/>
        </w:rPr>
        <w:softHyphen/>
      </w:r>
      <w:r>
        <w:rPr>
          <w:rFonts w:hint="cs"/>
          <w:rtl/>
        </w:rPr>
        <w:t>کند. فرموده اگر هنوز استخوان</w:t>
      </w:r>
      <w:r>
        <w:rPr>
          <w:rFonts w:hint="cs"/>
          <w:rtl/>
        </w:rPr>
        <w:softHyphen/>
        <w:t>ها سخت است، در جواز نبش اشکال است؛ اما اگر به شکل استخوان است، ولی اگر به آن دست بزنید، تبدیل به خاک می</w:t>
      </w:r>
      <w:r>
        <w:rPr>
          <w:rtl/>
        </w:rPr>
        <w:softHyphen/>
      </w:r>
      <w:r>
        <w:rPr>
          <w:rFonts w:hint="cs"/>
          <w:rtl/>
        </w:rPr>
        <w:t>شود؛ ظاهر جواز است. شقّ دوم، واضح است؛ چون مصداق إندارس است. در شقّ اوّل، اشکال کرده است. وجه اشکالش این است که از یک طرف، معلوم نیست که ادلّه</w:t>
      </w:r>
      <w:r>
        <w:rPr>
          <w:rtl/>
        </w:rPr>
        <w:softHyphen/>
      </w:r>
      <w:r>
        <w:rPr>
          <w:rFonts w:hint="cs"/>
          <w:rtl/>
        </w:rPr>
        <w:t>ی حرمت نبش، اینجا را بگیرد. ادلّه</w:t>
      </w:r>
      <w:r>
        <w:rPr>
          <w:rtl/>
        </w:rPr>
        <w:softHyphen/>
      </w:r>
      <w:r>
        <w:rPr>
          <w:rFonts w:hint="cs"/>
          <w:rtl/>
        </w:rPr>
        <w:t>ی ما هتک است؛ و اینکه استخوان</w:t>
      </w:r>
      <w:r>
        <w:rPr>
          <w:rtl/>
        </w:rPr>
        <w:softHyphen/>
      </w:r>
      <w:r>
        <w:rPr>
          <w:rFonts w:hint="cs"/>
          <w:rtl/>
        </w:rPr>
        <w:t>ها را برداریم، معلوم نیست که هتک صدق بکند. و از طرف دیگر هم ممکن است بگوئیم استخوان</w:t>
      </w:r>
      <w:r>
        <w:rPr>
          <w:rtl/>
        </w:rPr>
        <w:softHyphen/>
      </w:r>
      <w:r>
        <w:rPr>
          <w:rFonts w:hint="cs"/>
          <w:rtl/>
        </w:rPr>
        <w:t>هایش، همان بدن میّت است، و امر به دفن استخوان میّت داشتیم؛ ممکن است بگوئیم هتک صدق می</w:t>
      </w:r>
      <w:r>
        <w:rPr>
          <w:rtl/>
        </w:rPr>
        <w:softHyphen/>
      </w:r>
      <w:r>
        <w:rPr>
          <w:rFonts w:hint="cs"/>
          <w:rtl/>
        </w:rPr>
        <w:t>کند و جایز نیست. مرحوم سیّد در شمول دلیل حرمت نبش، اشکال داشته است؛ که اگر دلیل ما قضیّه هتک باشد، این اشکال را دارد؛ و اگر دلیل ما اجماع باشد، دلیل لبّی است؛ و اطلاقش صاف نیست.</w:t>
      </w:r>
    </w:p>
    <w:p w:rsidR="00545F3C" w:rsidRDefault="00545F3C" w:rsidP="00A8459A">
      <w:pPr>
        <w:rPr>
          <w:rFonts w:hint="cs"/>
          <w:rtl/>
        </w:rPr>
      </w:pPr>
      <w:r>
        <w:rPr>
          <w:rFonts w:hint="cs"/>
          <w:rtl/>
        </w:rPr>
        <w:t>عرض ما این است که روی مبنای اجماع و هتک، صاف نیست؛ اما روی مبنای صاحب جواهر که می</w:t>
      </w:r>
      <w:r>
        <w:rPr>
          <w:rtl/>
        </w:rPr>
        <w:softHyphen/>
      </w:r>
      <w:r>
        <w:rPr>
          <w:rFonts w:hint="cs"/>
          <w:rtl/>
        </w:rPr>
        <w:t>فرمود ما آناً فآناً امر به دفن داریم؛ در عظام میّت هم آناً فآناً امر به دفن داریم. این است که امر به دفن داریم؛ و چون اطلاق أزمانی دارد، مقتضایش همین است که اگر عظام هم شد، نبشش جایز نیست. و هکذا روی مبنائی که ما احتمال دادیم، که از امر به دفن، این را می</w:t>
      </w:r>
      <w:r>
        <w:rPr>
          <w:rtl/>
        </w:rPr>
        <w:softHyphen/>
      </w:r>
      <w:r>
        <w:rPr>
          <w:rFonts w:hint="cs"/>
          <w:rtl/>
        </w:rPr>
        <w:t>فهمیم که دفنش بکنند، و آن را ادامه بدهند. این است که اگر عظام بود، نبشش جایز نیست.</w:t>
      </w:r>
    </w:p>
    <w:p w:rsidR="00545F3C" w:rsidRDefault="00545F3C" w:rsidP="00A8459A">
      <w:pPr>
        <w:rPr>
          <w:rFonts w:hint="cs"/>
          <w:rtl/>
        </w:rPr>
      </w:pPr>
      <w:r>
        <w:rPr>
          <w:rFonts w:hint="cs"/>
          <w:rtl/>
        </w:rPr>
        <w:t xml:space="preserve">بعد مرحوم سیّد فرموده </w:t>
      </w:r>
      <w:r w:rsidRPr="00A8459A">
        <w:rPr>
          <w:rStyle w:val="SubtleEmphasis"/>
          <w:rFonts w:hint="cs"/>
          <w:rtl/>
        </w:rPr>
        <w:t>«نعم لا يجوز نبش قبور الشهداء و العلماء و الصلحاء و أولاد الأئمة (علیه السلام)- و لو بعد الاندراس و إن طالت المدة سيما المتخذ منها مزارا أو مستجارا»،</w:t>
      </w:r>
      <w:r w:rsidRPr="00AF42D2">
        <w:rPr>
          <w:rFonts w:ascii="Noor_Lotus" w:hAnsi="Noor_Lotus" w:hint="cs"/>
          <w:color w:val="0070C0"/>
          <w:rtl/>
        </w:rPr>
        <w:t xml:space="preserve"> </w:t>
      </w:r>
      <w:r>
        <w:rPr>
          <w:rFonts w:hint="cs"/>
          <w:rtl/>
        </w:rPr>
        <w:t>و لو امام زاده</w:t>
      </w:r>
      <w:r>
        <w:rPr>
          <w:rFonts w:hint="cs"/>
          <w:rtl/>
        </w:rPr>
        <w:softHyphen/>
        <w:t>ای باشد، که ثابت هم نیست. چون مردم این قبر را قبر امام زاده می</w:t>
      </w:r>
      <w:r>
        <w:rPr>
          <w:rtl/>
        </w:rPr>
        <w:softHyphen/>
      </w:r>
      <w:r>
        <w:rPr>
          <w:rFonts w:hint="cs"/>
          <w:rtl/>
        </w:rPr>
        <w:t>دانند، این کار را اهانت به امام زاده می</w:t>
      </w:r>
      <w:r>
        <w:rPr>
          <w:rtl/>
        </w:rPr>
        <w:softHyphen/>
      </w:r>
      <w:r>
        <w:rPr>
          <w:rFonts w:hint="cs"/>
          <w:rtl/>
        </w:rPr>
        <w:t>دانند. و لو مندرس شده باشد، خصوصا در جائی که زیارتگاه شده است؛ چون نبش قبر، بازی کردن با عواطف مردم است. مردم می</w:t>
      </w:r>
      <w:r>
        <w:rPr>
          <w:rtl/>
        </w:rPr>
        <w:softHyphen/>
      </w:r>
      <w:r>
        <w:rPr>
          <w:rFonts w:hint="cs"/>
          <w:rtl/>
        </w:rPr>
        <w:t>گویند با دین بازی کرده است؛ و إهانتش شدیدتر است.</w:t>
      </w:r>
    </w:p>
    <w:p w:rsidR="00545F3C" w:rsidRDefault="00545F3C" w:rsidP="00A8459A">
      <w:pPr>
        <w:rPr>
          <w:rFonts w:hint="cs"/>
          <w:rtl/>
        </w:rPr>
      </w:pPr>
      <w:r w:rsidRPr="00A8459A">
        <w:rPr>
          <w:rFonts w:hint="cs"/>
          <w:rtl/>
        </w:rPr>
        <w:t>مرحوم سیّد فرموده در صورتی نبش صدق می</w:t>
      </w:r>
      <w:r w:rsidRPr="00A8459A">
        <w:rPr>
          <w:rFonts w:hint="cs"/>
          <w:rtl/>
        </w:rPr>
        <w:softHyphen/>
        <w:t>کند که جسد میّت، ظاهر بشود؛ باید جسد میّت بروز بکند، تا هتک صدق بکند.</w:t>
      </w:r>
      <w:r w:rsidRPr="004B029C">
        <w:rPr>
          <w:rFonts w:hint="cs"/>
          <w:rtl/>
        </w:rPr>
        <w:t xml:space="preserve"> </w:t>
      </w:r>
      <w:r w:rsidRPr="00A8459A">
        <w:rPr>
          <w:rStyle w:val="SubtleEmphasis"/>
          <w:rFonts w:hint="cs"/>
          <w:rtl/>
        </w:rPr>
        <w:t>«و الظاهر توقف صدق النبش على بروز جسد الميت فلو أخرج بعض تراب القبر و حفر من دون أن يظهر جسده لا يكون من النبش المحرم و الأولى الإناطة بالعرف و هتك الحرمة»</w:t>
      </w:r>
      <w:r w:rsidRPr="00AF42D2">
        <w:rPr>
          <w:rFonts w:ascii="Noor_Lotus" w:hAnsi="Noor_Lotus" w:hint="cs"/>
          <w:color w:val="0070C0"/>
          <w:rtl/>
        </w:rPr>
        <w:t xml:space="preserve"> </w:t>
      </w:r>
      <w:r>
        <w:rPr>
          <w:rFonts w:hint="cs"/>
          <w:rtl/>
        </w:rPr>
        <w:t>پس اگر بعض خاک</w:t>
      </w:r>
      <w:r>
        <w:rPr>
          <w:rtl/>
        </w:rPr>
        <w:softHyphen/>
      </w:r>
      <w:r>
        <w:rPr>
          <w:rFonts w:hint="cs"/>
          <w:rtl/>
        </w:rPr>
        <w:t xml:space="preserve">های قبر را خارج بکنند؛ بحیث که بدن میّت ظاهر </w:t>
      </w:r>
      <w:r>
        <w:rPr>
          <w:rFonts w:hint="cs"/>
          <w:rtl/>
        </w:rPr>
        <w:lastRenderedPageBreak/>
        <w:t>نشود، حرام نیست؛ ولی باز هم در اینجا احتیاط کرده است که مواظب باشد همین مقدار را مردم هتک ندانند. اینکه گفتیم نظر سیّد به قضیّه هتک است، این جمله شاهد بر آن است.</w:t>
      </w:r>
    </w:p>
    <w:p w:rsidR="00545F3C" w:rsidRDefault="00545F3C" w:rsidP="00A8459A">
      <w:pPr>
        <w:rPr>
          <w:rFonts w:hint="cs"/>
          <w:rtl/>
        </w:rPr>
      </w:pPr>
      <w:r>
        <w:rPr>
          <w:rFonts w:hint="cs"/>
          <w:rtl/>
        </w:rPr>
        <w:t>و همچنین اگر میّت را در سردابی گذاشته باشند، و در سرداب را برای گذاشتن میّت دیگر، باز بکنند، نبش صدق نمی</w:t>
      </w:r>
      <w:r>
        <w:rPr>
          <w:rFonts w:hint="cs"/>
          <w:rtl/>
        </w:rPr>
        <w:softHyphen/>
        <w:t>کند. چون در اینجا قبری در کار نیست، تا نبش قبر صدق بکند. خصوصا اگر آن میّت أوّلی را مثلاً در تاریکی گذاشته</w:t>
      </w:r>
      <w:r>
        <w:rPr>
          <w:rtl/>
        </w:rPr>
        <w:softHyphen/>
      </w:r>
      <w:r>
        <w:rPr>
          <w:rFonts w:hint="cs"/>
          <w:rtl/>
        </w:rPr>
        <w:t>اند که ظاهر نمی</w:t>
      </w:r>
      <w:r>
        <w:rPr>
          <w:rtl/>
        </w:rPr>
        <w:softHyphen/>
      </w:r>
      <w:r>
        <w:rPr>
          <w:rFonts w:hint="cs"/>
          <w:rtl/>
        </w:rPr>
        <w:t>شود. و همچنین اگر میّت را بر روی زمین قرار داده</w:t>
      </w:r>
      <w:r>
        <w:rPr>
          <w:rtl/>
        </w:rPr>
        <w:softHyphen/>
      </w:r>
      <w:r>
        <w:rPr>
          <w:rFonts w:hint="cs"/>
          <w:rtl/>
        </w:rPr>
        <w:t>اند، و بر آن بنائی بسازند؛ حال از باب اینکه امکان دفن در زمین نیست، یا از باب اینکه اعتقاد به جواز دفن بر روی  زمین دارد، یا از باب عصیان، إخراجش مصداق نبش نیست. و همچنین اگر در تابوت باشد، مصداق نبش نیست.</w:t>
      </w:r>
    </w:p>
    <w:p w:rsidR="00545F3C" w:rsidRDefault="00545F3C" w:rsidP="00545F3C">
      <w:pPr>
        <w:pStyle w:val="Heading3"/>
        <w:rPr>
          <w:rFonts w:hint="cs"/>
          <w:rtl/>
        </w:rPr>
      </w:pPr>
      <w:bookmarkStart w:id="13" w:name="_Toc35033721"/>
      <w:bookmarkStart w:id="14" w:name="_Toc35108092"/>
      <w:r>
        <w:rPr>
          <w:rFonts w:hint="cs"/>
          <w:rtl/>
        </w:rPr>
        <w:t>مسأله 7: موارد إستثناء از حرمت نبش قبر</w:t>
      </w:r>
      <w:bookmarkEnd w:id="13"/>
      <w:bookmarkEnd w:id="14"/>
    </w:p>
    <w:p w:rsidR="00545F3C" w:rsidRPr="00A8459A" w:rsidRDefault="00545F3C" w:rsidP="00545F3C">
      <w:pPr>
        <w:jc w:val="both"/>
        <w:rPr>
          <w:rStyle w:val="SubtleEmphasis"/>
          <w:rFonts w:hint="cs"/>
          <w:rtl/>
        </w:rPr>
      </w:pPr>
      <w:r w:rsidRPr="00A8459A">
        <w:rPr>
          <w:rStyle w:val="SubtleEmphasis"/>
          <w:rFonts w:hint="cs"/>
          <w:rtl/>
        </w:rPr>
        <w:t>مسألة 7: يستثنى من حرمة النبش موارد</w:t>
      </w:r>
    </w:p>
    <w:p w:rsidR="00545F3C" w:rsidRPr="006D4D09" w:rsidRDefault="00545F3C" w:rsidP="00A8459A">
      <w:pPr>
        <w:rPr>
          <w:rFonts w:ascii="Noor_Lotus" w:hAnsi="Noor_Lotus" w:hint="cs"/>
          <w:rtl/>
        </w:rPr>
      </w:pPr>
      <w:r w:rsidRPr="006D4D09">
        <w:rPr>
          <w:rFonts w:hint="cs"/>
          <w:rtl/>
        </w:rPr>
        <w:t xml:space="preserve">در </w:t>
      </w:r>
      <w:r>
        <w:rPr>
          <w:rFonts w:hint="cs"/>
          <w:rtl/>
        </w:rPr>
        <w:t xml:space="preserve">این </w:t>
      </w:r>
      <w:r w:rsidRPr="006D4D09">
        <w:rPr>
          <w:rFonts w:hint="cs"/>
          <w:rtl/>
        </w:rPr>
        <w:t>مستثنیات</w:t>
      </w:r>
      <w:r>
        <w:rPr>
          <w:rFonts w:hint="cs"/>
          <w:rtl/>
        </w:rPr>
        <w:t>،</w:t>
      </w:r>
      <w:r w:rsidRPr="006D4D09">
        <w:rPr>
          <w:rFonts w:hint="cs"/>
          <w:rtl/>
        </w:rPr>
        <w:t xml:space="preserve"> نبش </w:t>
      </w:r>
      <w:r>
        <w:rPr>
          <w:rFonts w:hint="cs"/>
          <w:rtl/>
        </w:rPr>
        <w:t xml:space="preserve">قبر </w:t>
      </w:r>
      <w:r w:rsidRPr="006D4D09">
        <w:rPr>
          <w:rFonts w:hint="cs"/>
          <w:rtl/>
        </w:rPr>
        <w:t>هست</w:t>
      </w:r>
      <w:r>
        <w:rPr>
          <w:rFonts w:hint="cs"/>
          <w:rtl/>
        </w:rPr>
        <w:t>.</w:t>
      </w:r>
      <w:r w:rsidRPr="006D4D09">
        <w:rPr>
          <w:rFonts w:hint="cs"/>
          <w:rtl/>
        </w:rPr>
        <w:t xml:space="preserve"> </w:t>
      </w:r>
      <w:r>
        <w:rPr>
          <w:rFonts w:hint="cs"/>
          <w:rtl/>
        </w:rPr>
        <w:t xml:space="preserve">هم </w:t>
      </w:r>
      <w:r w:rsidRPr="006D4D09">
        <w:rPr>
          <w:rFonts w:hint="cs"/>
          <w:rtl/>
        </w:rPr>
        <w:t>بدن هست</w:t>
      </w:r>
      <w:r>
        <w:rPr>
          <w:rFonts w:hint="cs"/>
          <w:rtl/>
        </w:rPr>
        <w:t>،</w:t>
      </w:r>
      <w:r w:rsidRPr="006D4D09">
        <w:rPr>
          <w:rFonts w:hint="cs"/>
          <w:rtl/>
        </w:rPr>
        <w:t xml:space="preserve"> و هم قبر است</w:t>
      </w:r>
      <w:r>
        <w:rPr>
          <w:rFonts w:hint="cs"/>
          <w:rtl/>
        </w:rPr>
        <w:t xml:space="preserve">، </w:t>
      </w:r>
      <w:r w:rsidRPr="006D4D09">
        <w:rPr>
          <w:rFonts w:hint="cs"/>
          <w:rtl/>
        </w:rPr>
        <w:t>و هم مؤمن وجود دارد.</w:t>
      </w:r>
      <w:r w:rsidRPr="006D4D09">
        <w:rPr>
          <w:rtl/>
        </w:rPr>
        <w:tab/>
      </w:r>
    </w:p>
    <w:p w:rsidR="00545F3C" w:rsidRDefault="00545F3C" w:rsidP="00545F3C">
      <w:pPr>
        <w:pStyle w:val="Heading4"/>
        <w:rPr>
          <w:rFonts w:hint="cs"/>
          <w:rtl/>
        </w:rPr>
      </w:pPr>
      <w:bookmarkStart w:id="15" w:name="_Toc35033722"/>
      <w:bookmarkStart w:id="16" w:name="_Toc35108093"/>
      <w:r>
        <w:rPr>
          <w:rFonts w:hint="cs"/>
          <w:rtl/>
        </w:rPr>
        <w:t>مورد أوّل: دفن در مکان غصبی، دفن همراه با کفن یا مال غصبی</w:t>
      </w:r>
      <w:bookmarkEnd w:id="15"/>
      <w:bookmarkEnd w:id="16"/>
    </w:p>
    <w:p w:rsidR="00A8459A" w:rsidRDefault="00545F3C" w:rsidP="00A8459A">
      <w:pPr>
        <w:jc w:val="both"/>
        <w:rPr>
          <w:rStyle w:val="SubtleEmphasis"/>
          <w:rFonts w:hint="cs"/>
          <w:rtl/>
        </w:rPr>
      </w:pPr>
      <w:r w:rsidRPr="00A8459A">
        <w:rPr>
          <w:rStyle w:val="SubtleEmphasis"/>
          <w:rFonts w:hint="cs"/>
          <w:rtl/>
        </w:rPr>
        <w:t xml:space="preserve">الأول: إذا دفن في المكان المغصوب عدوانا أو جهلا أو نسيانا فإنه يجب نبشه مع عدم رضا المالك ببقائه و كذا إذا كان كفنه مغصوبا أو دفن معه مال مغصوب بل أو ماله المنتقل بعد موته إلى الوارث فيجوز نبشه لإخراجه نعم لو أوصى بدفن دعاء أو قرآن أو خاتم معه لا يجوز نبشه لأخذه بل لو ظهر بوجه من الوجوه لا يجوز أخذه كما لا </w:t>
      </w:r>
      <w:r w:rsidR="00A8459A">
        <w:rPr>
          <w:rStyle w:val="SubtleEmphasis"/>
          <w:rFonts w:hint="cs"/>
          <w:rtl/>
        </w:rPr>
        <w:t>يجوز عدم العمل بوصيته من الأول.</w:t>
      </w:r>
    </w:p>
    <w:p w:rsidR="00545F3C" w:rsidRPr="00A8459A" w:rsidRDefault="00545F3C" w:rsidP="00A8459A">
      <w:pPr>
        <w:rPr>
          <w:rFonts w:hint="cs"/>
          <w:i/>
          <w:color w:val="0000FF"/>
          <w:rtl/>
        </w:rPr>
      </w:pPr>
      <w:r w:rsidRPr="002016CE">
        <w:rPr>
          <w:rFonts w:hint="cs"/>
          <w:rtl/>
        </w:rPr>
        <w:t>اگر می</w:t>
      </w:r>
      <w:r>
        <w:rPr>
          <w:rFonts w:hint="cs"/>
          <w:rtl/>
        </w:rPr>
        <w:t>ّ</w:t>
      </w:r>
      <w:r w:rsidRPr="002016CE">
        <w:rPr>
          <w:rFonts w:hint="cs"/>
          <w:rtl/>
        </w:rPr>
        <w:t xml:space="preserve">ت را در مکان مغصوب دفن بکنند؛ </w:t>
      </w:r>
      <w:r>
        <w:rPr>
          <w:rFonts w:hint="cs"/>
          <w:rtl/>
        </w:rPr>
        <w:t>در صورتی که مال</w:t>
      </w:r>
      <w:r w:rsidRPr="002016CE">
        <w:rPr>
          <w:rFonts w:hint="cs"/>
          <w:rtl/>
        </w:rPr>
        <w:t>ک راضی به بقاء می</w:t>
      </w:r>
      <w:r>
        <w:rPr>
          <w:rFonts w:hint="cs"/>
          <w:rtl/>
        </w:rPr>
        <w:t>ّ</w:t>
      </w:r>
      <w:r w:rsidRPr="002016CE">
        <w:rPr>
          <w:rFonts w:hint="cs"/>
          <w:rtl/>
        </w:rPr>
        <w:t xml:space="preserve">ت در </w:t>
      </w:r>
      <w:r>
        <w:rPr>
          <w:rFonts w:hint="cs"/>
          <w:rtl/>
        </w:rPr>
        <w:t>آ</w:t>
      </w:r>
      <w:r w:rsidRPr="002016CE">
        <w:rPr>
          <w:rFonts w:hint="cs"/>
          <w:rtl/>
        </w:rPr>
        <w:t>نجا نباشد</w:t>
      </w:r>
      <w:r>
        <w:rPr>
          <w:rFonts w:hint="cs"/>
          <w:rtl/>
        </w:rPr>
        <w:t>؛</w:t>
      </w:r>
      <w:r w:rsidRPr="002016CE">
        <w:rPr>
          <w:rFonts w:hint="cs"/>
          <w:rtl/>
        </w:rPr>
        <w:t xml:space="preserve"> واجب است</w:t>
      </w:r>
      <w:r>
        <w:rPr>
          <w:rFonts w:hint="cs"/>
          <w:rtl/>
        </w:rPr>
        <w:t xml:space="preserve"> که او را منتقل</w:t>
      </w:r>
      <w:r w:rsidRPr="002016CE">
        <w:rPr>
          <w:rFonts w:hint="cs"/>
          <w:rtl/>
        </w:rPr>
        <w:t xml:space="preserve"> کنند</w:t>
      </w:r>
      <w:r>
        <w:rPr>
          <w:rFonts w:hint="cs"/>
          <w:rtl/>
        </w:rPr>
        <w:t>. نبش واجب است از باب اینکه در مکان مباح دفن شود. این قبر کردن، مصداق واجب نبوده است، و باید آن را دفن کرد</w:t>
      </w:r>
      <w:r w:rsidRPr="002016CE">
        <w:rPr>
          <w:rFonts w:hint="cs"/>
          <w:rtl/>
        </w:rPr>
        <w:t>.</w:t>
      </w:r>
      <w:r>
        <w:rPr>
          <w:rFonts w:hint="cs"/>
          <w:rtl/>
        </w:rPr>
        <w:t xml:space="preserve"> و لو دفن، تعبّدی نیست، و توصّلی است؛ ولی وقتی توصّلی إتیان می</w:t>
      </w:r>
      <w:r>
        <w:rPr>
          <w:rtl/>
        </w:rPr>
        <w:softHyphen/>
      </w:r>
      <w:r>
        <w:rPr>
          <w:rFonts w:hint="cs"/>
          <w:rtl/>
        </w:rPr>
        <w:t>شود که با قیودش باشد. و همچنین اگر کفن میّت غصبی باشد، یا با میّت مال غصبی دفن شود؛ بلکه حتّی اگر مالی که بعد از موتش به وارث منتقل می</w:t>
      </w:r>
      <w:r>
        <w:rPr>
          <w:rtl/>
        </w:rPr>
        <w:softHyphen/>
      </w:r>
      <w:r>
        <w:rPr>
          <w:rFonts w:hint="cs"/>
          <w:rtl/>
        </w:rPr>
        <w:t>شود، با او دفن شود؛ مثلاً باطری که در قلب گذاشته</w:t>
      </w:r>
      <w:r>
        <w:rPr>
          <w:rtl/>
        </w:rPr>
        <w:softHyphen/>
      </w:r>
      <w:r>
        <w:rPr>
          <w:rFonts w:hint="cs"/>
          <w:rtl/>
        </w:rPr>
        <w:t>اند و بدون نیاز به شکافتن قلب، و بواسطه باز کردن نخ و بخیّه</w:t>
      </w:r>
      <w:r>
        <w:rPr>
          <w:rFonts w:hint="cs"/>
          <w:rtl/>
        </w:rPr>
        <w:softHyphen/>
        <w:t>ها می</w:t>
      </w:r>
      <w:r>
        <w:rPr>
          <w:rFonts w:hint="cs"/>
          <w:rtl/>
        </w:rPr>
        <w:softHyphen/>
        <w:t>توانند آن را بیرون بیاورند، که در این صور نبش جایز است. بله اگر میّت وصیّت کرده که دعا یا قرآن یا انگشتری را با او دفن بکنند؛ جایز نیست که برای به دست آوردن آن، قبر را نبش بکنند. چون وقتی وصیّت می</w:t>
      </w:r>
      <w:r>
        <w:rPr>
          <w:rtl/>
        </w:rPr>
        <w:softHyphen/>
      </w:r>
      <w:r>
        <w:rPr>
          <w:rFonts w:hint="cs"/>
          <w:rtl/>
        </w:rPr>
        <w:t>کند، نتیجه وصیّت، این است که به ملک خودش باقی می</w:t>
      </w:r>
      <w:r>
        <w:rPr>
          <w:rtl/>
        </w:rPr>
        <w:softHyphen/>
      </w:r>
      <w:r>
        <w:rPr>
          <w:rFonts w:hint="cs"/>
          <w:rtl/>
        </w:rPr>
        <w:t xml:space="preserve">ماند. بلکه بالاتر اگر کسی قبر را نبش کرد، و آنها </w:t>
      </w:r>
      <w:r w:rsidRPr="00650C55">
        <w:rPr>
          <w:rFonts w:hint="cs"/>
          <w:rtl/>
        </w:rPr>
        <w:t>را بیرون آورد، یا اگر آب، میّت را روی زمین آورد، و به همراه او مال را هم بیرون آورد؛ باید به همراه میّت دفن شود.</w:t>
      </w:r>
    </w:p>
    <w:p w:rsidR="00545F3C" w:rsidRDefault="00545F3C" w:rsidP="00545F3C">
      <w:pPr>
        <w:pStyle w:val="Heading5"/>
        <w:rPr>
          <w:rFonts w:hint="cs"/>
          <w:rtl/>
        </w:rPr>
      </w:pPr>
      <w:bookmarkStart w:id="17" w:name="_Toc35108094"/>
      <w:r>
        <w:rPr>
          <w:rFonts w:hint="cs"/>
          <w:rtl/>
        </w:rPr>
        <w:t>دفن میّت در مکان غصبی</w:t>
      </w:r>
      <w:bookmarkEnd w:id="17"/>
    </w:p>
    <w:p w:rsidR="00545F3C" w:rsidRDefault="00545F3C" w:rsidP="00A8459A">
      <w:pPr>
        <w:rPr>
          <w:rFonts w:hint="cs"/>
          <w:rtl/>
        </w:rPr>
      </w:pPr>
      <w:r>
        <w:rPr>
          <w:rFonts w:hint="cs"/>
          <w:rtl/>
        </w:rPr>
        <w:lastRenderedPageBreak/>
        <w:t>اما دفن در مکان غصبی، که اگر در مکان غصبی دفن شد، نبشش حرمت ندارد، بلکه واجب است.</w:t>
      </w:r>
    </w:p>
    <w:p w:rsidR="00545F3C" w:rsidRDefault="00545F3C" w:rsidP="00A8459A">
      <w:pPr>
        <w:rPr>
          <w:rFonts w:hint="cs"/>
          <w:rtl/>
        </w:rPr>
      </w:pPr>
      <w:r>
        <w:rPr>
          <w:rFonts w:hint="cs"/>
          <w:rtl/>
        </w:rPr>
        <w:t>شبهه</w:t>
      </w:r>
      <w:r>
        <w:rPr>
          <w:rtl/>
        </w:rPr>
        <w:softHyphen/>
      </w:r>
      <w:r>
        <w:rPr>
          <w:rFonts w:hint="cs"/>
          <w:rtl/>
        </w:rPr>
        <w:t>ای که در اینجا هست، این است که کسی توهّم بکند حال که میّت را در مکان غصبی دفن کردیم، این میّت در این مَدفن حقّی پیدا کرد؛ و مزاحم حقّ مالک است؛ و وجهی ندارد که بگوئیم حقّ مالک، مقدّم است. بلکه حقّ میّت، مقدّم بر حقّ مالک است؛ چون خود این مالک هم مکلّف به دفن و لو در ملک خود مالک، بود.</w:t>
      </w:r>
    </w:p>
    <w:p w:rsidR="00B46ED1" w:rsidRPr="0027114E" w:rsidRDefault="00545F3C" w:rsidP="00A8459A">
      <w:pPr>
        <w:rPr>
          <w:rtl/>
          <w:lang w:bidi="ar-SA"/>
        </w:rPr>
      </w:pPr>
      <w:r w:rsidRPr="00681C10">
        <w:rPr>
          <w:rFonts w:hint="cs"/>
          <w:rtl/>
        </w:rPr>
        <w:t>که این مسأله را به فروضی تقسیم کرده</w:t>
      </w:r>
      <w:r w:rsidRPr="00681C10">
        <w:rPr>
          <w:rtl/>
        </w:rPr>
        <w:softHyphen/>
      </w:r>
      <w:r w:rsidRPr="00681C10">
        <w:rPr>
          <w:rFonts w:hint="cs"/>
          <w:rtl/>
        </w:rPr>
        <w:t>اند. تارةً: زمین دیگری هست که میّت را در آن دفن بکنند؛ و اُخری: زمین دیگری نیست. و تارةً: مالک این زمین، با پول راضی می</w:t>
      </w:r>
      <w:r w:rsidRPr="00681C10">
        <w:rPr>
          <w:rtl/>
        </w:rPr>
        <w:softHyphen/>
      </w:r>
      <w:r w:rsidRPr="00681C10">
        <w:rPr>
          <w:rFonts w:hint="cs"/>
          <w:rtl/>
        </w:rPr>
        <w:t>شود؛ و اُخری: با پول راضی نمی</w:t>
      </w:r>
      <w:r w:rsidRPr="00681C10">
        <w:rPr>
          <w:rtl/>
        </w:rPr>
        <w:softHyphen/>
      </w:r>
      <w:r w:rsidRPr="00681C10">
        <w:rPr>
          <w:rFonts w:hint="cs"/>
          <w:rtl/>
        </w:rPr>
        <w:t>شود.</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212" w:rsidRDefault="00F06212" w:rsidP="008B750B">
      <w:pPr>
        <w:spacing w:line="240" w:lineRule="auto"/>
      </w:pPr>
      <w:r>
        <w:separator/>
      </w:r>
    </w:p>
  </w:endnote>
  <w:endnote w:type="continuationSeparator" w:id="0">
    <w:p w:rsidR="00F06212" w:rsidRDefault="00F0621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459A" w:rsidRPr="00A8459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212" w:rsidRDefault="00F06212" w:rsidP="008B750B">
      <w:pPr>
        <w:spacing w:line="240" w:lineRule="auto"/>
      </w:pPr>
      <w:r>
        <w:separator/>
      </w:r>
    </w:p>
  </w:footnote>
  <w:footnote w:type="continuationSeparator" w:id="0">
    <w:p w:rsidR="00F06212" w:rsidRDefault="00F0621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45F3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545F3C">
      <w:rPr>
        <w:rFonts w:hint="cs"/>
        <w:b/>
        <w:bCs/>
        <w:color w:val="7030A0"/>
        <w:sz w:val="20"/>
        <w:szCs w:val="24"/>
        <w:rtl/>
      </w:rPr>
      <w:t>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45F3C">
      <w:rPr>
        <w:rFonts w:hint="cs"/>
        <w:sz w:val="24"/>
        <w:szCs w:val="24"/>
        <w:rtl/>
      </w:rPr>
      <w:t xml:space="preserve">16 </w:t>
    </w:r>
    <w:r w:rsidR="00C06989">
      <w:rPr>
        <w:sz w:val="24"/>
        <w:szCs w:val="24"/>
        <w:rtl/>
      </w:rPr>
      <w:t>/</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E614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5F3C"/>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8459A"/>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6212"/>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C8914-1A5C-48E9-A290-903F1D6D3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5</Pages>
  <Words>1415</Words>
  <Characters>8068</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9465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2020-03-14T16:24:00Z</dcterms:modified>
</cp:coreProperties>
</file>