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882F8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4475F5" w:rsidRPr="004475F5" w:rsidRDefault="004475F5" w:rsidP="004475F5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دلیل </w:t>
      </w:r>
      <w:r w:rsidRPr="004475F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دیگر مخالفین حجیت ظنون در اعتقادات</w:t>
      </w:r>
    </w:p>
    <w:p w:rsidR="00AB08C9" w:rsidRPr="00AB08C9" w:rsidRDefault="004475F5" w:rsidP="00205C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بحث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بررسی ادله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مخالفین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ون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اعتقادات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بود. در جلسات گذشته برخی از این ادله نقل و ارزیابی شد. دلیل دیگر آنان این آیه شریفه است: «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تَقْفُ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لَيْسَ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لَكَ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بِهِ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عِلْمٌ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إِنَّ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السَّمْعَ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الْبَصَرَ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الْفُؤادَ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كُلُّ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أُولئِكَ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كانَ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عَنْهُ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مَسْؤُلاً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 آنان گفته اند: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نهی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آیه </w:t>
      </w:r>
      <w:r w:rsidR="00205C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اطلاق داشته و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 </w:t>
      </w:r>
      <w:r w:rsidR="00205C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شامل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اعتقادات و هم فروع دین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می شود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. مفاد آیه این است که غیر از علم</w:t>
      </w:r>
      <w:r w:rsidR="00205C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205C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حوزه های معرفتی اعتباری ندارد</w:t>
      </w:r>
      <w:r w:rsidR="00205C2B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ظن نیز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غیر علم است </w:t>
      </w:r>
      <w:r w:rsidR="00205C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لذا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موارد نهی آیه است،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احکام فرعی از این اطلاق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جهت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ادله حجیت ظنون خاصه تخصیص می خورد و عقاید در اطلاق نهی باقی می ماند.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طبرسی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ذیل آیه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گفته است: «</w:t>
      </w:r>
      <w:r w:rsidR="00A334C4" w:rsidRPr="00A334C4">
        <w:rPr>
          <w:rFonts w:hint="cs"/>
          <w:rtl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قد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استدل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جماعة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أصحابنا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بهذا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العمل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بالقياس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بخبر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الواحد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جائز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لأنهما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يوجبان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العلم‌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قد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نهى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الله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سبحانه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اتباع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هو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معلوم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إِنَّ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اَلسَّمْعَ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اَلْبَصَرَ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اَلْفُؤَادَ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كُلُّ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أُولَئِكَ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كَانَ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عَنْهُ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مَسْؤُلاً</w:t>
      </w:r>
      <w:r w:rsidR="00A334C4" w:rsidRPr="00A334C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معناه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السمع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يسأل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عما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سمع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البصر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عما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رأى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القلب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عما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عزم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عليه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ذكر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سبحانه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السمع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البصر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الفؤاد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 فخرالدین رازی نیز گفته است: «</w:t>
      </w:r>
      <w:r w:rsidR="00A334C4" w:rsidRPr="00A334C4">
        <w:rPr>
          <w:rFonts w:hint="cs"/>
          <w:rtl/>
        </w:rPr>
        <w:t xml:space="preserve"> </w:t>
      </w:r>
      <w:r w:rsidR="00A334C4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حْتَجَّ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نُفَاةُ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الْقِيَاسِ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بِهَذِهِ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الْآيَةِ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فَقَالُوا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الْقِيَاسُ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لَا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يُفِيدُ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إِلَّا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الظَّنَّ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وَالظَّنُّ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مُغَايِرٌ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لِلْعِلْمِ،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فَالْحُكْمُ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فِي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دِينِ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اللَّهِ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بِالْقِيَاسِ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حُكْمٌ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بِغَيْرِ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الْمَعْلُومِ،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فَوَجَبَ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أَنْ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لَا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يَجُوزَ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لِقَوْلِهِ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تَعَالَى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وَلا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تَقْفُ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مَا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لَيْسَ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لَكَ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عِلْمٌ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</w:p>
    <w:p w:rsidR="004475F5" w:rsidRPr="004475F5" w:rsidRDefault="00AB08C9" w:rsidP="004475F5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4475F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اشکال بر استدلال </w:t>
      </w:r>
    </w:p>
    <w:p w:rsidR="00AB08C9" w:rsidRPr="00AB08C9" w:rsidRDefault="00806E69" w:rsidP="00C4153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گفته شده این استدلا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ل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از مواردی است که خود برانداز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به آیه استدلال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بر نفی حجیت ظنون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حالی که دلالت خود آیه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این مطلب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باب ظنون است نه نص. وجه آن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است که احتمال دارد نهی در آیه،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نهی کراهتی باشد نه حرمت. بنابراین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شما برای رد ظن از یک دلیل ظنی استفاده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کرده اید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اگر ظن حجیت ندارد پس این دلیل باطل است و اگر حجیت دارد چرا می گویید حجیت ندارد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تناقض است.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رازی در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تفسیر کبیر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این اشکال را بیان کرده گفته است: «</w:t>
      </w:r>
      <w:r w:rsidR="00A334C4" w:rsidRPr="00A334C4">
        <w:rPr>
          <w:rFonts w:hint="cs"/>
          <w:rtl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فَلَوْ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دَلَّتْ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هَذِهِ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الْآيَةُ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عَلَى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أَنَّ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التَّمَسُّكَ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بِالظَّنِّ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غَيْرُ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جَائِزٍ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لَدَلَّتْ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عَلَى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أَنَّ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التَّمَسُّكَ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بِهَذِهِ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الْآيَةِ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غَيْرُ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جَائِزٍ،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فَالْقَوْلُ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بِكَوْنِ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هَذِهِ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الْآيَةِ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حُجَّةً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يُفْضِي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ثُبُوتُهُ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إِلَى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نَفْيِهِ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فَكَانَ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تَنَاقُضًا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فَسَقَطَ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الِاسْتِدْلَالُ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بِهِ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AB08C9" w:rsidRPr="00AB08C9" w:rsidRDefault="00AB08C9" w:rsidP="00C4153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نص جایی است که احتمال خلاف داده ن</w:t>
      </w:r>
      <w:r w:rsidR="00806E6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شود،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اما ظن آن است که احتمال خلاف آن داده می شود</w:t>
      </w:r>
      <w:r w:rsidR="00806E69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آیه </w:t>
      </w:r>
      <w:r w:rsidR="00806E6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شریفه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نیز احتمال خلاف داده می شود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آن است این است که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ممکن است نهی در </w:t>
      </w:r>
      <w:r w:rsidR="00806E6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آیه، نهی کراهتی باشد. </w:t>
      </w:r>
    </w:p>
    <w:p w:rsidR="004475F5" w:rsidRPr="004475F5" w:rsidRDefault="004475F5" w:rsidP="00AB08C9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4475F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نقد</w:t>
      </w:r>
    </w:p>
    <w:p w:rsidR="00AB08C9" w:rsidRPr="00AB08C9" w:rsidRDefault="00AB08C9" w:rsidP="00C4153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این اشکال وارد نیست زیرا </w:t>
      </w:r>
      <w:r w:rsidR="00806E69">
        <w:rPr>
          <w:rFonts w:ascii="Noor_Mitra" w:hAnsi="Noor_Mitra" w:cs="Noor_Mitra" w:hint="cs"/>
          <w:sz w:val="28"/>
          <w:szCs w:val="28"/>
          <w:rtl/>
          <w:lang w:bidi="fa-IR"/>
        </w:rPr>
        <w:t>آنچه در آیه بیان شده است یک فرع عملی و یک تکلیف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806E6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که متوجه مکلف است و لذا موضوع آن یک اصلی فقهی است نه اصل اعتقادی، و طبق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ادله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حجیت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خاص، تبعیت از ظن در احکام فقهی حجت است. </w:t>
      </w:r>
    </w:p>
    <w:p w:rsidR="00AB08C9" w:rsidRPr="00AB08C9" w:rsidRDefault="00AB08C9" w:rsidP="00C4153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علامه طباطبایی در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>پ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اسخ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فرموده است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>: «</w:t>
      </w:r>
      <w:r w:rsidR="00A334C4" w:rsidRPr="00A334C4">
        <w:rPr>
          <w:rFonts w:hint="cs"/>
          <w:rtl/>
        </w:rPr>
        <w:t xml:space="preserve">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اتباع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الظهور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اتباع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لحجة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علمية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عقلائية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وهي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بناء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العقلاء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حجيته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فليس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اتباعه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اتباع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العلم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334C4" w:rsidRPr="00A334C4">
        <w:rPr>
          <w:rFonts w:ascii="Noor_Mitra" w:hAnsi="Noor_Mitra" w:cs="Noor_Mitra" w:hint="cs"/>
          <w:sz w:val="28"/>
          <w:szCs w:val="28"/>
          <w:rtl/>
          <w:lang w:bidi="fa-IR"/>
        </w:rPr>
        <w:t>بشيء</w:t>
      </w:r>
      <w:r w:rsidR="00A334C4" w:rsidRPr="00A334C4">
        <w:rPr>
          <w:rFonts w:ascii="Noor_Mitra" w:hAnsi="Noor_Mitra" w:cs="Noor_Mitra"/>
          <w:sz w:val="28"/>
          <w:szCs w:val="28"/>
          <w:rtl/>
          <w:lang w:bidi="fa-IR"/>
        </w:rPr>
        <w:t>.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D46068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منهی عنه است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چیزی است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 خودش علم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و نه علمی (یعنی پشتوانه و دلیل معتبر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دارد)،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حالی که حجیت ظنون دلیل دارد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>و علمی است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>بنابراین ظهور کلام هر چند ظنی است اما علمی ا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س</w:t>
      </w:r>
      <w:r w:rsid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 یعنی پشتوانه علمی دارد. </w:t>
      </w:r>
    </w:p>
    <w:p w:rsidR="00AB08C9" w:rsidRPr="00AB08C9" w:rsidRDefault="00D46068" w:rsidP="00C4153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حکایت: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بنی صدر خیلی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فرد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غ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رور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خود برتر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بینی بود تا جایی که گفته بود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بیانیه های امام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دوران پهلوی را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می گفتیم و امام می خواند. یک روز 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حالی که ژست خاصی گرفته بود 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مشغول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سخنرانی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درباره علم بود و به عنوان شاهد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آیه قرآن را خواند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«</w:t>
      </w:r>
      <w:r w:rsidRPr="00D460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تَقْفُ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لَيْسَ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لَكَ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بِهِ</w:t>
      </w:r>
      <w:r w:rsidRPr="004475F5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4475F5">
        <w:rPr>
          <w:rFonts w:ascii="Noor_Mitra" w:hAnsi="Noor_Mitra" w:cs="Noor_Mitra" w:hint="cs"/>
          <w:sz w:val="28"/>
          <w:szCs w:val="28"/>
          <w:rtl/>
          <w:lang w:bidi="fa-IR"/>
        </w:rPr>
        <w:t>عِلْمٌ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C41531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بعد در ترجمه آن می گفت قرآن می گوید نایست بلکه به دنبال علم برو. او این مقدار نمی دانست که کلمه تقف از ماده «قف</w:t>
      </w:r>
      <w:r w:rsidR="00A334C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» به معنای </w:t>
      </w:r>
      <w:r w:rsidR="00A334C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پی آمدن و تبعیت کردن است (کلمه قفا به معنای پشت سر معروف است)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نه از ماده «</w:t>
      </w:r>
      <w:r w:rsidR="00A334C4">
        <w:rPr>
          <w:rFonts w:ascii="Noor_Mitra" w:hAnsi="Noor_Mitra" w:cs="Noor_Mitra" w:hint="cs"/>
          <w:sz w:val="28"/>
          <w:szCs w:val="28"/>
          <w:rtl/>
          <w:lang w:bidi="fa-IR"/>
        </w:rPr>
        <w:t>وقف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A334C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معنای ایستادن در مکان (از همین ماده است وقوف و مواقف)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4475F5" w:rsidRPr="004475F5" w:rsidRDefault="004475F5" w:rsidP="00AB08C9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ارزیابی</w:t>
      </w:r>
    </w:p>
    <w:p w:rsidR="00AB08C9" w:rsidRPr="00AB08C9" w:rsidRDefault="00AB08C9" w:rsidP="008B711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توجه به بحث های سال گذشته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نقد این استدلال روشن است. در آنجا بیان شد که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در قرآن و روایات به چه معنا است؟ علم در آیات و روایات منحصر در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به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معنای یقین بالمعنی الاخص نیست بلکه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بر اساس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شواهد متعدد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اعم است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یقین بالمعنی الاخص و علم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اطمینان آور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نزد عقلا. اگر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عرف و عقلا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چیزی را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بدانند،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نیز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را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دانسته است.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بحث ما نیز عقلا و عرف ظهور کلام (وقتی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قرینه ای بر خلاف آن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نباشد)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را از مصادیق علم می دانند و می گویند می دانیم. طبق این مبنا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ظن اطمینان آور از نهی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آیه خارج است و آیه شامل حال آن نمی شود.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در مباحث بعد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گفته شد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در قرآن و روایات بکار رفته است کاربردهای متعددی دارد و ربطی به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منطق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گفته می شود ندارد. ظن مذموم در 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بدون دلیل 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همان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و نیز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سخنی است که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مستند آن اعتبار عقلایی ندارد مثل تبعیت از آباء و اجداد.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>بنابراین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اگر از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طریق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خبر واحد ثقه و یا ظواهر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کتاب و سنت،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ظن اطمینانی دست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یابیم </w:t>
      </w:r>
      <w:r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مصادیق علم </w:t>
      </w:r>
      <w:r w:rsidR="00FF343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خواهد بود و نهی در آیه شامل حال آن نخواهد شد. </w:t>
      </w:r>
    </w:p>
    <w:p w:rsidR="005C04CB" w:rsidRDefault="005C04CB" w:rsidP="005C04C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</w:p>
    <w:p w:rsidR="005C04CB" w:rsidRPr="004475F5" w:rsidRDefault="005C04CB" w:rsidP="005C04C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آخرین </w:t>
      </w: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دلیل </w:t>
      </w:r>
      <w:r w:rsidRPr="004475F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مخالفین حجیت ظنون در اعتقادات</w:t>
      </w:r>
    </w:p>
    <w:p w:rsidR="00AB08C9" w:rsidRPr="00AB08C9" w:rsidRDefault="005C04CB" w:rsidP="008B711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دلیل دیگری که مخالفین حجیت ظنون در اعتقادات به آن استناد کرده اند این دعای پیامبر اکرم (ص) است که می فرمود: «</w:t>
      </w:r>
      <w:r w:rsidR="008B711E" w:rsidRPr="008B711E">
        <w:rPr>
          <w:rFonts w:hint="cs"/>
          <w:rtl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r w:rsidR="008B711E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مقلّب</w:t>
      </w:r>
      <w:r w:rsidR="008B711E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القلوب،</w:t>
      </w:r>
      <w:r w:rsidR="008B711E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ثبّت</w:t>
      </w:r>
      <w:r w:rsidR="008B711E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قلبى</w:t>
      </w:r>
      <w:r w:rsidR="008B711E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="008B711E" w:rsidRPr="008B711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B711E" w:rsidRPr="008B711E">
        <w:rPr>
          <w:rFonts w:ascii="Noor_Mitra" w:hAnsi="Noor_Mitra" w:cs="Noor_Mitra" w:hint="cs"/>
          <w:sz w:val="28"/>
          <w:szCs w:val="28"/>
          <w:rtl/>
          <w:lang w:bidi="fa-IR"/>
        </w:rPr>
        <w:t>دينك‏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».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روایات نبوی در منابع شیعی حدیثی شیعی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کتاب حقایق الایمان، ص 57 آمده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و مرحوم مجلسی نیز در مرآه العقول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 را از حقایق نقل کرده است. این دعا از ائمه اطهار (ع) نیز نقل شده است کما اینکه شیخ صدوق در «کمال الدین»  از امام صادق (ع) آن را نقل کرده است . در منابع اهل سنت این دعا در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سنن ترمذی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ج4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ح3522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مستدرک حاکم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ج2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ح3140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آمده است. در این منابع آمده است که پیامبر اکرم (ص) این دعا را زیاد می خواندند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مساله نشان می دهد که مساله ث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بات قدم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یکی از مسائل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خیلی مهم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انسان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تا لحظه ای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حضرت ع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ز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>ر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ائیل را ملاقات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نکرده است باید بداند که دائما در معر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>ض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خطر است و شیطان قسم یاد کرده و تلاش خود را بشدت به کار می برد 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فرد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 ایمان از دنیا برود. </w:t>
      </w:r>
    </w:p>
    <w:p w:rsidR="00AB08C9" w:rsidRPr="00AB08C9" w:rsidRDefault="005C04CB" w:rsidP="005C04C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وجه استدلال گفته شده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>ثبات قلب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 شرط ایمان است و الا آن را پیامبر اکرم (ص) درخواست نمی نمود، و ظن از مواردی است که ثبات ندارد و لذا حجیت ندارد.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6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AB08C9" w:rsidRPr="00AB08C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8B711E">
        <w:rPr>
          <w:rFonts w:ascii="Noor_Mitra" w:hAnsi="Noor_Mitra" w:cs="Noor_Mitra" w:hint="cs"/>
          <w:sz w:val="28"/>
          <w:szCs w:val="28"/>
          <w:rtl/>
          <w:lang w:bidi="fa-IR"/>
        </w:rPr>
        <w:t>ادامه بحث انشاء الله در جلسه آینده بیان می شود.</w:t>
      </w:r>
      <w:bookmarkStart w:id="0" w:name="_GoBack"/>
      <w:bookmarkEnd w:id="0"/>
    </w:p>
    <w:p w:rsidR="00762F9E" w:rsidRDefault="00762F9E" w:rsidP="007E1717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8AA" w:rsidRDefault="001258AA" w:rsidP="00BC6EBB">
      <w:pPr>
        <w:spacing w:after="0" w:line="240" w:lineRule="auto"/>
      </w:pPr>
      <w:r>
        <w:separator/>
      </w:r>
    </w:p>
  </w:endnote>
  <w:endnote w:type="continuationSeparator" w:id="0">
    <w:p w:rsidR="001258AA" w:rsidRDefault="001258A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8AA" w:rsidRDefault="001258AA" w:rsidP="00BC6EBB">
      <w:pPr>
        <w:spacing w:after="0" w:line="240" w:lineRule="auto"/>
      </w:pPr>
      <w:r>
        <w:separator/>
      </w:r>
    </w:p>
  </w:footnote>
  <w:footnote w:type="continuationSeparator" w:id="0">
    <w:p w:rsidR="001258AA" w:rsidRDefault="001258AA" w:rsidP="00BC6EBB">
      <w:pPr>
        <w:spacing w:after="0" w:line="240" w:lineRule="auto"/>
      </w:pPr>
      <w:r>
        <w:continuationSeparator/>
      </w:r>
    </w:p>
  </w:footnote>
  <w:footnote w:id="1">
    <w:p w:rsidR="004475F5" w:rsidRDefault="004475F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اسرا، آیه 36</w:t>
      </w:r>
    </w:p>
  </w:footnote>
  <w:footnote w:id="2">
    <w:p w:rsidR="004475F5" w:rsidRDefault="004475F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حقایق الایمان، ص68 ؛ مجمع البیان، </w:t>
      </w:r>
      <w:r>
        <w:rPr>
          <w:rFonts w:hint="cs"/>
          <w:rtl/>
          <w:lang w:bidi="fa-IR"/>
        </w:rPr>
        <w:t xml:space="preserve">ج5-6، ص 415 </w:t>
      </w:r>
      <w:r w:rsidR="00A334C4">
        <w:rPr>
          <w:rFonts w:hint="cs"/>
          <w:rtl/>
          <w:lang w:bidi="fa-IR"/>
        </w:rPr>
        <w:t xml:space="preserve">(ج6، ص 641) </w:t>
      </w:r>
      <w:r>
        <w:rPr>
          <w:rFonts w:hint="cs"/>
          <w:rtl/>
          <w:lang w:bidi="fa-IR"/>
        </w:rPr>
        <w:t>؛ تفسیر کبیر، ج20، ص 208</w:t>
      </w:r>
    </w:p>
  </w:footnote>
  <w:footnote w:id="3">
    <w:p w:rsidR="00806E69" w:rsidRDefault="00806E6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تفسیر کبیر، ج20، ص210</w:t>
      </w:r>
    </w:p>
  </w:footnote>
  <w:footnote w:id="4">
    <w:p w:rsidR="00D46068" w:rsidRDefault="00D4606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المیزان، </w:t>
      </w:r>
      <w:r>
        <w:rPr>
          <w:rFonts w:hint="cs"/>
          <w:rtl/>
          <w:lang w:bidi="fa-IR"/>
        </w:rPr>
        <w:t>علامه طباطبایی، ج13، ص94</w:t>
      </w:r>
    </w:p>
  </w:footnote>
  <w:footnote w:id="5">
    <w:p w:rsidR="005C04CB" w:rsidRDefault="005C04C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مرآه العقول، علامه مجلسی، ج7، ص 133-134</w:t>
      </w:r>
    </w:p>
  </w:footnote>
  <w:footnote w:id="6">
    <w:p w:rsidR="005C04CB" w:rsidRDefault="005C04C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حقایق الایمان، شهید ثانی، ص 67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AB08C9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شنبه، </w:t>
    </w:r>
    <w:r w:rsidR="00AB08C9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AB08C9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258AA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5C2B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E4B78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5F5"/>
    <w:rsid w:val="00447D89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85FBC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676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04C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06E69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B711E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4C4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08C9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531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6068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343D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5C2350-5E6E-4C7A-A45A-0B2AAFB2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2019-11-02T15:14:00Z</dcterms:created>
  <dcterms:modified xsi:type="dcterms:W3CDTF">2019-11-02T17:25:00Z</dcterms:modified>
</cp:coreProperties>
</file>