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882F8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F31806" w:rsidRPr="00F31806" w:rsidRDefault="00F31806" w:rsidP="00FA7595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F3180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مرور اجمالی مباحث اجتهاد در علم کلام</w:t>
      </w:r>
    </w:p>
    <w:p w:rsidR="00FA7595" w:rsidRPr="00FA7595" w:rsidRDefault="00F31806" w:rsidP="00D83A5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ادامه بحث به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مرور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اجمالی از مباحثی  که در مورد اجتهاد در علم کلام مطرح شد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می پردازیم: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FA7595" w:rsidRPr="00FA7595" w:rsidRDefault="00FA7595" w:rsidP="00D83A5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1. اصل بحث</w:t>
      </w:r>
      <w:r w:rsidR="00F318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بررسی اجتهاد در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علم کلا</w:t>
      </w:r>
      <w:r w:rsidR="00F318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 بود. ابتدا به بررسی معنای لغوی و اصطلاحی آن پرداختیم.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معنای لغوی اجتهاد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بذل جهد </w:t>
      </w:r>
      <w:r w:rsidR="00F318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حد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وسع 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است، و در هر امری متناسب با آن است.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مورد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معنای اصطلاحی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>از آنجا که ب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رای هر علمی ادوا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>ت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ابعی 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دارد، فردی که منابع و روش آن علم را بداند و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بتواند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مسائل آن علم را 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تحقیق 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تلاش بدست آورد، 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جتهد در آن علم نامیده می شود،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خواه علم فقه باشد یا فیزیک و شیمی. در علم فقه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مجتهد 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کسی 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گفته می شود که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بتواند بر اساس منابع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دینی،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احکام فقهی ر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استنباط کند.</w:t>
      </w:r>
    </w:p>
    <w:p w:rsidR="00FA7595" w:rsidRPr="00FA7595" w:rsidRDefault="00FA7595" w:rsidP="00D83A5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در عل</w:t>
      </w:r>
      <w:r w:rsidR="00D974F7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کلا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اجته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د دارای دو مرتبه است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الف)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اصول اعتقادی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شالوده های دین،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اصل بر این است که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هر فرد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اهل نظر باشد و خود آن 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مسائل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بفهمند.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در این مرتبه دیگر تقلید جایز نیست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مقدار تلاش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همگان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مقدور و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ممکن است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تقلید در جایی جایز است که عجز باشد. بر این اساس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وجوب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تحقیق،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عینی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ست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. (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مرتبه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اجتهاد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محل بحث ما نیست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ب)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>مرتبه دوم اجتهاد نسبت به سایر اعتقادات است. کسب اجتهاد در این مرتبه مستحب و جنبه کمالی دارد و اکتفا به همان مقدار قبل کافی است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منتهی از باب دفاع از دین و ارشاد مردم، بر عده ای وا</w:t>
      </w:r>
      <w:r w:rsidR="00D83A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جب </w:t>
      </w:r>
      <w:r w:rsidR="00D405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که در این مسائل وارد شده و دست به اجتهاد بزنند. این وجوب کفایی است. </w:t>
      </w:r>
    </w:p>
    <w:p w:rsidR="00FA7595" w:rsidRPr="00FA7595" w:rsidRDefault="00FA7595" w:rsidP="004C3EF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اجتهاد در اعتقادات مخالفینی نیز داشته است. در تاریخ از عده ای نام برده شده که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معتقد به تقلید در اعتقادات بوده و تفکر و غور در مباحث اعتقادی را منع می کردند.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دلایلی که آنان بر این امر اقامه می کردند از این قرار است: الف)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غور در این مباحث جدال خیز است و جدال در دین مذموم است.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ب)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پیامبر اکرم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ص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تفکر در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</w:t>
      </w:r>
      <w:r w:rsidR="004C3EFD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قدر</w:t>
      </w:r>
      <w:r w:rsidR="004C3EFD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منع کرده اند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>و این مساله در مورد سایر اعتقادات نیز جاری است. ج)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مباحث زمینه ساز طرح شبهات است.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د)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مساله مخالف با سیره پیامبر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ص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بوده است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زیرا ایشان در مورد کسانی که به اسلام رو می آوردند ساده برخورد </w:t>
      </w:r>
      <w:r w:rsidR="004C3E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به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مقدار کم بسنده می کردند. در اینجا گفته شد،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سیره پیامبر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ص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>) در مورد کسانی بود</w:t>
      </w:r>
      <w:r w:rsidR="004C3EFD"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می خواستند وارد بر دین شوند</w:t>
      </w:r>
      <w:r w:rsidR="004C3EF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مساله در مورد کسانی که داخل در دین بودند </w:t>
      </w:r>
      <w:r w:rsidR="004C3E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متفاوت بود. </w:t>
      </w:r>
    </w:p>
    <w:p w:rsidR="00FA7595" w:rsidRPr="00FA7595" w:rsidRDefault="00FA7595" w:rsidP="00E00C5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3. 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دیگری که مورد بررسی قرار گرفت، مساله اجتهاد در اعتقادات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از جهت قرآن و روایت</w:t>
      </w:r>
      <w:r w:rsidR="00E00C5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بود. در این باره مساله تفقه در دین و همچنین روایات فریضه علم و دلایل دیگر مورد بررسی قرار گرفت. </w:t>
      </w:r>
    </w:p>
    <w:p w:rsidR="00FA7595" w:rsidRPr="00FA7595" w:rsidRDefault="00FA7595" w:rsidP="009A18C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4. بحث دیگر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بررسی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متکلمان اسلامی در باب وجوب نظر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ادله ای است که آنان در این باره که همان اجتهاد در کلام است بیان کردند. این ادله از این قرار بود: الف)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نظر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تفکر،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وسیل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برای معرفت خداوند است و معرفت خداوند واجب است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پس نظر واجب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ست.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ب)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اگر فکر و نظر در اعتقادات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>صورت نگیرد خوف قرار گرفتن در ضرر عظیم است. عقل</w:t>
      </w:r>
      <w:r w:rsidR="00941B45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رفع خوف را واجب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می داند. همچنین احتمال ضرر بزرگی نیز به جهت عمل نکردن به دستورات وجود دارد و عقل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دفع ضرر محتمل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واجب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داند. پس از باب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وجوب رفع خوف محتمل و دفع ضرر محتمل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نظر و تفکر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واجب است.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ج) همان طور که علامه طباطبایی فرموده است،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فطرت و حس کنجکاوی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انسان را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 مسائلی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مواجه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کرده و او را به تحقیق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وا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دارد.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ایشان فرمودند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اگر بحث خداوند فطری نباشد که هست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بحث درباره </w:t>
      </w:r>
      <w:r w:rsidR="009A18C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نظر در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آن قطعا فطری است .</w:t>
      </w:r>
    </w:p>
    <w:p w:rsidR="00FA7595" w:rsidRPr="00FA7595" w:rsidRDefault="005F37D8" w:rsidP="00014B1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ادله نقلی نیز اقامه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="00014B1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جمله آیه «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قُلِ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انْظُرُوا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ذا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فِي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السَّماواتِ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الْأَرْضِ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تُغْنِي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الْآياتُ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النُّذُرُ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عَنْ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قَوْمٍ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5F37D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F37D8">
        <w:rPr>
          <w:rFonts w:ascii="Noor_Mitra" w:hAnsi="Noor_Mitra" w:cs="Noor_Mitra" w:hint="cs"/>
          <w:sz w:val="28"/>
          <w:szCs w:val="28"/>
          <w:rtl/>
          <w:lang w:bidi="fa-IR"/>
        </w:rPr>
        <w:t>يُؤْمِنُون‏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. و نیز در روایت آمده است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پیامبر اکرم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ص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وقتی آیه 91 آل عمران را قرائت کردند فرمودند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 «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ویل لمن قر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أ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ها و لم یتفکر فیها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 معنای این روایت حضرت آن است که فعل این تفکر واجب است و ترک آن عقاب دارد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FA7595" w:rsidRPr="00FA7595" w:rsidRDefault="00FA7595" w:rsidP="00EA74E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5.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دیگر مورد </w:t>
      </w:r>
      <w:r w:rsidR="00014B1B">
        <w:rPr>
          <w:rFonts w:ascii="Noor_Mitra" w:hAnsi="Noor_Mitra" w:cs="Noor_Mitra" w:hint="cs"/>
          <w:sz w:val="28"/>
          <w:szCs w:val="28"/>
          <w:rtl/>
          <w:lang w:bidi="fa-IR"/>
        </w:rPr>
        <w:t>بحث،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دلیل بر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وجوب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معرفت الله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بود.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یکی از دلایل آن وجوب شکر منعم است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صورت که ما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نعمت ها را می بینیم و این نعمت ها طبق ق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عده علیت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منعم دارد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انسان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باید کسی که این نعمت ها را به او داده است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شکر کند. </w:t>
      </w:r>
      <w:r w:rsidR="00014B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این شکل آن گاه ممکن است که فرد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منعم را </w:t>
      </w:r>
      <w:r w:rsidR="00014B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بشناسد.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دلیل دیگر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وجوب دفع ضرر محتمل است.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دلیل سوم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قاعده لطف است.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البته مراد از لطف در اینجا معنای لغوی </w:t>
      </w:r>
      <w:r w:rsidR="00EA74E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است نه معنای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مصطلح.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اصل این قاعده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حکم عقل </w:t>
      </w:r>
      <w:r w:rsidR="00B959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همان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وجوب شکر منعم و دفع ضرر محتمل بر می گردد .   </w:t>
      </w:r>
    </w:p>
    <w:p w:rsidR="00FA7595" w:rsidRPr="00FA7595" w:rsidRDefault="00FA7595" w:rsidP="00334F1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6. دو گروه در میان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متفکران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اسلامی معتقد هستند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از آنجا که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>اعتقاد به خداوند فطری است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انسان با این معارف متولد شده است، دیگر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تحصیل بردار نیست. عده ای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آنان را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اصحاب المعارف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نامند و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نوعا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متعزله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هستند و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اخباریون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شیعه معتقد به </w:t>
      </w:r>
      <w:r w:rsidR="00BB3D4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عقیده بوده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اند. </w:t>
      </w:r>
    </w:p>
    <w:p w:rsidR="00CD334C" w:rsidRDefault="00FA7595" w:rsidP="00CD334C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7. </w:t>
      </w:r>
      <w:r w:rsidR="00CD33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دیگر بحث شده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کارکردهای اجتهاد کلامی در منابع وحیانی </w:t>
      </w:r>
      <w:r w:rsidR="00CD33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بود. گفته شده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اینجا به سه نوع اجتهاد </w:t>
      </w:r>
      <w:r w:rsidR="00CD33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داریم: </w:t>
      </w:r>
    </w:p>
    <w:p w:rsidR="00CD334C" w:rsidRDefault="00CD334C" w:rsidP="00CD334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الف)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اجتهاد استنباطی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یعنی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اعتقادات را به صورت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مجتهدانه از قرآن و روایات استناط کن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د،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همان گونه که فق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ه احکام فقهی را استنباط می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کند.</w:t>
      </w:r>
    </w:p>
    <w:p w:rsidR="00CD334C" w:rsidRDefault="00CD334C" w:rsidP="00465FD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ب)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اجتهاد تبیینی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؛ و آن بیان اعتقاداتی است که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توضیح داده نشده است. مثلا در روایات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باره علم الهی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آمده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 «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علمه قبل الایجاد کعلمه بعد الایجاد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تبیین این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روایت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کار مجتهد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 بر اساس مبانی فلسفی و اصولی است. مرحوم صدرالمتالهین در تبیین آن</w:t>
      </w:r>
      <w:r w:rsidR="00465FD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مساله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اجمالی در عین کشف تفصیلی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بیان کردند که بهترین تبیین است و این نشان می دهد که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بعضی از مباحث فلسفی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در تبیین و فهم </w:t>
      </w:r>
      <w:r w:rsidR="00465FD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معارف دینی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بسیار راه گشا بوده و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معجزه می کند </w:t>
      </w:r>
    </w:p>
    <w:p w:rsidR="00FA7595" w:rsidRPr="00FA7595" w:rsidRDefault="00CD334C" w:rsidP="00BB0D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ج)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اجتهاد دفاعی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گاه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مطلبی در قرآن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روایات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آمده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سبب شبهه برای برخی شده است.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مثلا در قرآن کریم آمده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Pr="00CD334C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CD33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D334C">
        <w:rPr>
          <w:rFonts w:ascii="Noor_Mitra" w:hAnsi="Noor_Mitra" w:cs="Noor_Mitra" w:hint="cs"/>
          <w:sz w:val="28"/>
          <w:szCs w:val="28"/>
          <w:rtl/>
          <w:lang w:bidi="fa-IR"/>
        </w:rPr>
        <w:t>يُسْئَلُ</w:t>
      </w:r>
      <w:r w:rsidRPr="00CD33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D334C">
        <w:rPr>
          <w:rFonts w:ascii="Noor_Mitra" w:hAnsi="Noor_Mitra" w:cs="Noor_Mitra" w:hint="cs"/>
          <w:sz w:val="28"/>
          <w:szCs w:val="28"/>
          <w:rtl/>
          <w:lang w:bidi="fa-IR"/>
        </w:rPr>
        <w:t>عَمَّا</w:t>
      </w:r>
      <w:r w:rsidRPr="00CD33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D334C">
        <w:rPr>
          <w:rFonts w:ascii="Noor_Mitra" w:hAnsi="Noor_Mitra" w:cs="Noor_Mitra" w:hint="cs"/>
          <w:sz w:val="28"/>
          <w:szCs w:val="28"/>
          <w:rtl/>
          <w:lang w:bidi="fa-IR"/>
        </w:rPr>
        <w:t>يَفْعَلُ</w:t>
      </w:r>
      <w:r w:rsidRPr="00CD33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D334C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CD33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D334C">
        <w:rPr>
          <w:rFonts w:ascii="Noor_Mitra" w:hAnsi="Noor_Mitra" w:cs="Noor_Mitra" w:hint="cs"/>
          <w:sz w:val="28"/>
          <w:szCs w:val="28"/>
          <w:rtl/>
          <w:lang w:bidi="fa-IR"/>
        </w:rPr>
        <w:t>هُمْ</w:t>
      </w:r>
      <w:r w:rsidRPr="00CD334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D334C">
        <w:rPr>
          <w:rFonts w:ascii="Noor_Mitra" w:hAnsi="Noor_Mitra" w:cs="Noor_Mitra" w:hint="cs"/>
          <w:sz w:val="28"/>
          <w:szCs w:val="28"/>
          <w:rtl/>
          <w:lang w:bidi="fa-IR"/>
        </w:rPr>
        <w:t>يُسْئَلُون‏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یعنی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خداوند ما فوق سوال است.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ممکن است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کسی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بگوید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چرا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اینگونه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نعوذ بالله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BB0D2B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معنای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استکباری ندارد؟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مرحوم علامه در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دفاع فرموده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BB0D2B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معنای آیه این است که اصلا سوال در مورد خداوند جا ندارد و راهی برای سوال در مورد او نیست</w:t>
      </w:r>
      <w:r w:rsidR="00BB0D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نه اینکه مجال سوال هست اما اجازه سوال داده نمی شود. سوال یا از فاعل است که خداوند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فاعل الفواعل است</w:t>
      </w:r>
      <w:r w:rsidR="00BB0D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 از غایت است که خداوند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>غایت الغایات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و یا از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ملک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او مالک الملوک است. </w:t>
      </w:r>
    </w:p>
    <w:p w:rsidR="00FA7595" w:rsidRPr="00FA7595" w:rsidRDefault="00FA7595" w:rsidP="006964B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8. </w:t>
      </w:r>
      <w:r w:rsidR="00CD33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دیگر مساله </w:t>
      </w:r>
      <w:r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روش و قواعد اجتهاد کلامی </w:t>
      </w:r>
      <w:r w:rsidR="00CD334C">
        <w:rPr>
          <w:rFonts w:ascii="Noor_Mitra" w:hAnsi="Noor_Mitra" w:cs="Noor_Mitra" w:hint="cs"/>
          <w:sz w:val="28"/>
          <w:szCs w:val="28"/>
          <w:rtl/>
          <w:lang w:bidi="fa-IR"/>
        </w:rPr>
        <w:t>است. برخی از روش ها و قواعد اجتهاد در علم کلام در علم اصول بیان شده است. قوا</w:t>
      </w:r>
      <w:r w:rsidR="006964BD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 w:rsidR="00CD33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 علم اصول فقه در علوم مختلفی از جمله اعتقادات کاربرد دارد . </w:t>
      </w:r>
    </w:p>
    <w:p w:rsidR="00FA7595" w:rsidRPr="00FA7595" w:rsidRDefault="00CD334C" w:rsidP="006964B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9. موضوع دیگر بررسی مساله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قطع و ظن و حجیت آن در استنباط </w:t>
      </w:r>
      <w:r w:rsidR="003B6EBA">
        <w:rPr>
          <w:rFonts w:ascii="Noor_Mitra" w:hAnsi="Noor_Mitra" w:cs="Noor_Mitra" w:hint="cs"/>
          <w:sz w:val="28"/>
          <w:szCs w:val="28"/>
          <w:rtl/>
          <w:lang w:bidi="fa-IR"/>
        </w:rPr>
        <w:t>بود که مورد بررسی قرار گر</w:t>
      </w:r>
      <w:bookmarkStart w:id="0" w:name="_GoBack"/>
      <w:bookmarkEnd w:id="0"/>
      <w:r w:rsidR="003B6EB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فت. </w:t>
      </w:r>
    </w:p>
    <w:p w:rsidR="00FA7595" w:rsidRPr="00FA7595" w:rsidRDefault="003B6EBA" w:rsidP="003B6EB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انشاء الله در جلسه آینده به </w:t>
      </w:r>
      <w:r w:rsidR="00FA7595" w:rsidRPr="00FA759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بررسی مبانی معرفت شناسی در علم کلام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پردازیم . </w:t>
      </w:r>
    </w:p>
    <w:p w:rsidR="00762F9E" w:rsidRPr="00F14D8C" w:rsidRDefault="00762F9E" w:rsidP="007E171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7E1717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060" w:rsidRDefault="00866060" w:rsidP="00BC6EBB">
      <w:pPr>
        <w:spacing w:after="0" w:line="240" w:lineRule="auto"/>
      </w:pPr>
      <w:r>
        <w:separator/>
      </w:r>
    </w:p>
  </w:endnote>
  <w:endnote w:type="continuationSeparator" w:id="0">
    <w:p w:rsidR="00866060" w:rsidRDefault="0086606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060" w:rsidRDefault="00866060" w:rsidP="00BC6EBB">
      <w:pPr>
        <w:spacing w:after="0" w:line="240" w:lineRule="auto"/>
      </w:pPr>
      <w:r>
        <w:separator/>
      </w:r>
    </w:p>
  </w:footnote>
  <w:footnote w:type="continuationSeparator" w:id="0">
    <w:p w:rsidR="00866060" w:rsidRDefault="00866060" w:rsidP="00BC6EBB">
      <w:pPr>
        <w:spacing w:after="0" w:line="240" w:lineRule="auto"/>
      </w:pPr>
      <w:r>
        <w:continuationSeparator/>
      </w:r>
    </w:p>
  </w:footnote>
  <w:footnote w:id="1">
    <w:p w:rsidR="005F37D8" w:rsidRDefault="005F37D8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یونس، آیه 101</w:t>
      </w:r>
    </w:p>
  </w:footnote>
  <w:footnote w:id="2">
    <w:p w:rsidR="00CD334C" w:rsidRDefault="00CD334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انبیا، آیه 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FA7595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FA7595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FA7595">
      <w:rPr>
        <w:rFonts w:ascii="Tahoma" w:hAnsi="Tahoma" w:cs="Traditional Arabic" w:hint="cs"/>
        <w:sz w:val="28"/>
        <w:szCs w:val="28"/>
        <w:rtl/>
        <w:lang w:bidi="fa-IR"/>
      </w:rPr>
      <w:t>27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993D52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4B1B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4F1E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EBA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5FDB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3EF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37D8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64BD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060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1B45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18CE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59C9"/>
    <w:rsid w:val="00B9673D"/>
    <w:rsid w:val="00B97514"/>
    <w:rsid w:val="00BA100D"/>
    <w:rsid w:val="00BA4318"/>
    <w:rsid w:val="00BA4DD6"/>
    <w:rsid w:val="00BA5A9C"/>
    <w:rsid w:val="00BB0D2B"/>
    <w:rsid w:val="00BB34AA"/>
    <w:rsid w:val="00BB3D48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D334C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052A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3A5B"/>
    <w:rsid w:val="00D8527F"/>
    <w:rsid w:val="00D8567C"/>
    <w:rsid w:val="00D85CEC"/>
    <w:rsid w:val="00D87ECA"/>
    <w:rsid w:val="00D912E2"/>
    <w:rsid w:val="00D96151"/>
    <w:rsid w:val="00D974F7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0C58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4EE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1806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595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3EC0D2-C8B5-44AE-BA0F-F06DB805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18</cp:revision>
  <dcterms:created xsi:type="dcterms:W3CDTF">2019-11-18T11:14:00Z</dcterms:created>
  <dcterms:modified xsi:type="dcterms:W3CDTF">2019-11-18T12:18:00Z</dcterms:modified>
</cp:coreProperties>
</file>