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91350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465559" w:rsidRDefault="00287268" w:rsidP="00287268">
      <w:pPr>
        <w:spacing w:after="120"/>
        <w:jc w:val="both"/>
        <w:rPr>
          <w:rFonts w:ascii="IRBadr" w:hAnsi="IRBadr" w:cs="B Mitra"/>
          <w:color w:val="FF0000"/>
          <w:sz w:val="28"/>
          <w:szCs w:val="28"/>
          <w:rtl/>
        </w:rPr>
      </w:pPr>
      <w:r>
        <w:rPr>
          <w:rFonts w:ascii="IRBadr" w:hAnsi="IRBadr" w:cs="B Mitra" w:hint="cs"/>
          <w:color w:val="FF0000"/>
          <w:sz w:val="28"/>
          <w:szCs w:val="28"/>
          <w:rtl/>
        </w:rPr>
        <w:t xml:space="preserve">بررسی </w:t>
      </w:r>
      <w:r>
        <w:rPr>
          <w:rFonts w:ascii="IRBadr" w:hAnsi="IRBadr" w:cs="B Mitra"/>
          <w:color w:val="FF0000"/>
          <w:sz w:val="28"/>
          <w:szCs w:val="28"/>
          <w:rtl/>
        </w:rPr>
        <w:t>دیدگاه تعریف پذیری</w:t>
      </w:r>
      <w:r>
        <w:rPr>
          <w:rFonts w:ascii="IRBadr" w:hAnsi="IRBadr" w:cs="B Mitra" w:hint="cs"/>
          <w:color w:val="FF0000"/>
          <w:sz w:val="28"/>
          <w:szCs w:val="28"/>
          <w:rtl/>
        </w:rPr>
        <w:t xml:space="preserve"> علم</w:t>
      </w:r>
    </w:p>
    <w:p w:rsidR="00287268" w:rsidRPr="00D3746B" w:rsidRDefault="00287268" w:rsidP="00287268">
      <w:pPr>
        <w:spacing w:after="120"/>
        <w:jc w:val="both"/>
        <w:rPr>
          <w:rFonts w:ascii="IRBadr" w:hAnsi="IRBadr" w:cs="B Mitra"/>
          <w:color w:val="FF0000"/>
          <w:sz w:val="28"/>
          <w:szCs w:val="28"/>
          <w:rtl/>
        </w:rPr>
      </w:pPr>
      <w:r>
        <w:rPr>
          <w:rFonts w:ascii="IRBadr" w:hAnsi="IRBadr" w:cs="B Mitra" w:hint="cs"/>
          <w:color w:val="FF0000"/>
          <w:sz w:val="28"/>
          <w:szCs w:val="28"/>
          <w:rtl/>
        </w:rPr>
        <w:t>تعریف های حکمای اسلامی</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۸. تعریفی است که </w:t>
      </w:r>
      <w:bookmarkStart w:id="0" w:name="_GoBack"/>
      <w:bookmarkEnd w:id="0"/>
      <w:r w:rsidRPr="002327CE">
        <w:rPr>
          <w:rFonts w:ascii="IRBadr" w:hAnsi="IRBadr" w:cs="B Mitra"/>
          <w:sz w:val="28"/>
          <w:szCs w:val="28"/>
          <w:rtl/>
        </w:rPr>
        <w:t xml:space="preserve">منسوب به حکمای اسلامی است و با عبارت‌های زیر بیان شده است: </w:t>
      </w:r>
    </w:p>
    <w:p w:rsidR="00287268" w:rsidRDefault="00465559" w:rsidP="00287268">
      <w:pPr>
        <w:spacing w:after="120"/>
        <w:jc w:val="both"/>
        <w:rPr>
          <w:rFonts w:ascii="IRBadr" w:hAnsi="IRBadr" w:cs="B Mitra"/>
          <w:sz w:val="28"/>
          <w:szCs w:val="28"/>
          <w:rtl/>
        </w:rPr>
      </w:pPr>
      <w:r w:rsidRPr="002327CE">
        <w:rPr>
          <w:rFonts w:ascii="IRBadr" w:hAnsi="IRBadr" w:cs="B Mitra"/>
          <w:sz w:val="28"/>
          <w:szCs w:val="28"/>
          <w:rtl/>
        </w:rPr>
        <w:t>الف. علم، حصول صورت چیزی در عقل است. ب. علم، حصول صورت چیزی نزد عقل است. ج. علم، صورت حاصله از شیء، نزد عقل است</w:t>
      </w:r>
      <w:r w:rsidR="00287268">
        <w:rPr>
          <w:rFonts w:ascii="IRBadr" w:hAnsi="IRBadr" w:cs="B Mitra" w:hint="cs"/>
          <w:sz w:val="28"/>
          <w:szCs w:val="28"/>
          <w:rtl/>
        </w:rPr>
        <w:t xml:space="preserve">. </w:t>
      </w:r>
      <w:r w:rsidRPr="002327CE">
        <w:rPr>
          <w:rFonts w:ascii="IRBadr" w:hAnsi="IRBadr" w:cs="B Mitra"/>
          <w:sz w:val="28"/>
          <w:szCs w:val="28"/>
          <w:rtl/>
        </w:rPr>
        <w:t xml:space="preserve"> د. علم، حضور صور اشیاء نزد عقل است. </w:t>
      </w:r>
      <w:r w:rsidR="00287268">
        <w:rPr>
          <w:rFonts w:ascii="IRBadr" w:hAnsi="IRBadr" w:cs="B Mitra" w:hint="cs"/>
          <w:sz w:val="28"/>
          <w:szCs w:val="28"/>
          <w:rtl/>
        </w:rPr>
        <w:t xml:space="preserve">ه. </w:t>
      </w:r>
      <w:r w:rsidRPr="002327CE">
        <w:rPr>
          <w:rFonts w:ascii="IRBadr" w:hAnsi="IRBadr" w:cs="B Mitra"/>
          <w:sz w:val="28"/>
          <w:szCs w:val="28"/>
          <w:rtl/>
        </w:rPr>
        <w:t xml:space="preserve">علم، حضور صورت شیء نزد عقل است. </w:t>
      </w:r>
      <w:r w:rsidR="00287268">
        <w:rPr>
          <w:rStyle w:val="FootnoteReference"/>
          <w:rFonts w:ascii="IRBadr" w:hAnsi="IRBadr" w:cs="B Mitra"/>
          <w:sz w:val="28"/>
          <w:szCs w:val="28"/>
          <w:rtl/>
        </w:rPr>
        <w:footnoteReference w:id="1"/>
      </w:r>
    </w:p>
    <w:p w:rsidR="00287268" w:rsidRDefault="00465559" w:rsidP="00287268">
      <w:pPr>
        <w:spacing w:after="120"/>
        <w:jc w:val="both"/>
        <w:rPr>
          <w:rFonts w:ascii="IRBadr" w:hAnsi="IRBadr" w:cs="B Mitra"/>
          <w:sz w:val="28"/>
          <w:szCs w:val="28"/>
          <w:rtl/>
        </w:rPr>
      </w:pPr>
      <w:r w:rsidRPr="002327CE">
        <w:rPr>
          <w:rFonts w:ascii="IRBadr" w:hAnsi="IRBadr" w:cs="B Mitra"/>
          <w:sz w:val="28"/>
          <w:szCs w:val="28"/>
          <w:rtl/>
        </w:rPr>
        <w:t xml:space="preserve">این تعریف، علم حضوری را شامل نمی شود و در مورد علم حصولی نیز، ظن مطابق با واقع را شامل می‌شود. بنابراین، نه جامع افراد است و نه مانع اغیار. </w:t>
      </w:r>
    </w:p>
    <w:p w:rsidR="00465559" w:rsidRPr="002327CE" w:rsidRDefault="00287268" w:rsidP="00287268">
      <w:pPr>
        <w:spacing w:after="120"/>
        <w:jc w:val="both"/>
        <w:rPr>
          <w:rFonts w:ascii="IRBadr" w:hAnsi="IRBadr" w:cs="B Mitra"/>
          <w:sz w:val="28"/>
          <w:szCs w:val="28"/>
          <w:rtl/>
        </w:rPr>
      </w:pPr>
      <w:r>
        <w:rPr>
          <w:rFonts w:ascii="IRBadr" w:hAnsi="IRBadr" w:cs="B Mitra" w:hint="cs"/>
          <w:sz w:val="28"/>
          <w:szCs w:val="28"/>
          <w:rtl/>
        </w:rPr>
        <w:t xml:space="preserve">9. </w:t>
      </w:r>
      <w:r w:rsidR="00465559" w:rsidRPr="002327CE">
        <w:rPr>
          <w:rFonts w:ascii="IRBadr" w:hAnsi="IRBadr" w:cs="B Mitra"/>
          <w:sz w:val="28"/>
          <w:szCs w:val="28"/>
          <w:rtl/>
        </w:rPr>
        <w:t>علم، حضور معلوم نزد عالم است</w:t>
      </w:r>
      <w:r>
        <w:rPr>
          <w:rStyle w:val="FootnoteReference"/>
          <w:rFonts w:ascii="IRBadr" w:hAnsi="IRBadr" w:cs="B Mitra"/>
          <w:sz w:val="28"/>
          <w:szCs w:val="28"/>
          <w:rtl/>
        </w:rPr>
        <w:footnoteReference w:id="2"/>
      </w:r>
      <w:r w:rsidR="00465559"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این تعریف، هم علم حضوری را شامل می‌شود و هم علم حصولی را، ولی مشتمل بر دور است، زیرا معلوم، متعلق علم، و عالم </w:t>
      </w:r>
    </w:p>
    <w:p w:rsidR="00465559" w:rsidRDefault="00465559" w:rsidP="00287268">
      <w:pPr>
        <w:spacing w:after="120"/>
        <w:jc w:val="both"/>
        <w:rPr>
          <w:rFonts w:ascii="IRBadr" w:hAnsi="IRBadr" w:cs="B Mitra"/>
          <w:sz w:val="28"/>
          <w:szCs w:val="28"/>
          <w:rtl/>
        </w:rPr>
      </w:pPr>
      <w:r w:rsidRPr="002327CE">
        <w:rPr>
          <w:rFonts w:ascii="IRBadr" w:hAnsi="IRBadr" w:cs="B Mitra"/>
          <w:sz w:val="28"/>
          <w:szCs w:val="28"/>
          <w:rtl/>
        </w:rPr>
        <w:t xml:space="preserve">واجد علم است، بنابراین، علم، به علم تعریف شده است.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۱۰. علم، حضور یا حصول موجود مجرد از ماده است برای موجود مجرد از ماده. </w:t>
      </w:r>
      <w:r w:rsidR="00287268">
        <w:rPr>
          <w:rStyle w:val="FootnoteReference"/>
          <w:rFonts w:ascii="IRBadr" w:hAnsi="IRBadr" w:cs="B Mitra"/>
          <w:sz w:val="28"/>
          <w:szCs w:val="28"/>
          <w:rtl/>
        </w:rPr>
        <w:footnoteReference w:id="3"/>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این تعریف، در مورد علم انسان اشکالی ندارد، زیرا هم شامل علم حضوری می‌شود و هم علم حصولی، ولی علم خداوند به موجودات مادی منطبق نیست، زیرا همه موجودات امکانی، اعم از مجرد و مادی، به حکم این که فعل و آفریده خداوند می‌باشند، و به حکم حضور فعل نزد فاعل، نزد خداوند حاضرند، و در نتیجه معلوم خداوند می‌باشند. از باب تمثیل، حضور صفحه عالم مخلوقات نزد خداوند، همانند حضور صفحه ذهن نزد نفس انسان است (صفحة الاعيان عند الله تعالى، كصفحة الاذهان عند انفسنا) و به تصریح قرآن کریم: </w:t>
      </w:r>
      <w:r>
        <w:rPr>
          <w:rFonts w:ascii="IRBadr" w:hAnsi="IRBadr" w:cs="B Mitra" w:hint="cs"/>
          <w:sz w:val="28"/>
          <w:szCs w:val="28"/>
          <w:rtl/>
        </w:rPr>
        <w:t>«</w:t>
      </w:r>
      <w:r w:rsidRPr="002327CE">
        <w:rPr>
          <w:rFonts w:ascii="IRBadr" w:hAnsi="IRBadr" w:cs="B Mitra"/>
          <w:sz w:val="28"/>
          <w:szCs w:val="28"/>
          <w:rtl/>
        </w:rPr>
        <w:t>ولايعزب عنه مثقال ذرة في السماوات ولا في الارض</w:t>
      </w:r>
      <w:r>
        <w:rPr>
          <w:rFonts w:ascii="IRBadr" w:hAnsi="IRBadr" w:cs="B Mitra" w:hint="cs"/>
          <w:sz w:val="28"/>
          <w:szCs w:val="28"/>
          <w:rtl/>
        </w:rPr>
        <w:t>».</w:t>
      </w:r>
      <w:r w:rsidR="00287268">
        <w:rPr>
          <w:rStyle w:val="FootnoteReference"/>
          <w:rFonts w:ascii="IRBadr" w:hAnsi="IRBadr" w:cs="B Mitra"/>
          <w:sz w:val="28"/>
          <w:szCs w:val="28"/>
          <w:rtl/>
        </w:rPr>
        <w:footnoteReference w:id="4"/>
      </w:r>
    </w:p>
    <w:p w:rsidR="00465559" w:rsidRPr="002327CE" w:rsidRDefault="00465559" w:rsidP="00287268">
      <w:pPr>
        <w:spacing w:after="120"/>
        <w:jc w:val="both"/>
        <w:rPr>
          <w:rFonts w:ascii="IRBadr" w:hAnsi="IRBadr" w:cs="B Mitra"/>
          <w:sz w:val="28"/>
          <w:szCs w:val="28"/>
          <w:rtl/>
        </w:rPr>
      </w:pPr>
      <w:r w:rsidRPr="002327CE">
        <w:rPr>
          <w:rFonts w:ascii="IRBadr" w:hAnsi="IRBadr" w:cs="B Mitra"/>
          <w:sz w:val="28"/>
          <w:szCs w:val="28"/>
          <w:rtl/>
        </w:rPr>
        <w:t>۱۱. علم، صفتی است که موجب می‌شود که موصوفش، متعلق آن را از غیر آن به گونه‌ای تمییز دهد که احتمال نقیض آن داده نشود</w:t>
      </w:r>
      <w:r w:rsidR="00287268">
        <w:rPr>
          <w:rFonts w:ascii="IRBadr" w:hAnsi="IRBadr" w:cs="B Mitra" w:hint="cs"/>
          <w:sz w:val="28"/>
          <w:szCs w:val="28"/>
          <w:rtl/>
        </w:rPr>
        <w:t>.</w:t>
      </w:r>
      <w:r w:rsidR="00287268">
        <w:rPr>
          <w:rStyle w:val="FootnoteReference"/>
          <w:rFonts w:ascii="IRBadr" w:hAnsi="IRBadr" w:cs="B Mitra"/>
          <w:sz w:val="28"/>
          <w:szCs w:val="28"/>
          <w:rtl/>
        </w:rPr>
        <w:footnoteReference w:id="5"/>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lastRenderedPageBreak/>
        <w:t>این تعریف، هم علم حضوری را شامل می‌شود و هم علم حصولی را، هم تصورات را و هم تصدیقات را، ولی بر آن این اشکال وارد شده است که علوم عادیه را شامل نمی شود، زیرا احتمال نقیض در آنها وجود دارد، از باب مثال احتمال این که از طریق خارق العاده کوهی که قبلا دیده بودیم به طلا تبدیل شده باشد، وجود دارد. در حالی که علوم عادیه از اقسام علم می‌باشند</w:t>
      </w:r>
      <w:r w:rsidR="00287268">
        <w:rPr>
          <w:rFonts w:ascii="IRBadr" w:hAnsi="IRBadr" w:cs="B Mitra" w:hint="cs"/>
          <w:sz w:val="28"/>
          <w:szCs w:val="28"/>
          <w:rtl/>
        </w:rPr>
        <w:t>.</w:t>
      </w:r>
      <w:r w:rsidR="00287268">
        <w:rPr>
          <w:rStyle w:val="FootnoteReference"/>
          <w:rFonts w:ascii="IRBadr" w:hAnsi="IRBadr" w:cs="B Mitra"/>
          <w:sz w:val="28"/>
          <w:szCs w:val="28"/>
          <w:rtl/>
        </w:rPr>
        <w:footnoteReference w:id="6"/>
      </w:r>
      <w:r w:rsidRPr="002327CE">
        <w:rPr>
          <w:rFonts w:ascii="IRBadr" w:hAnsi="IRBadr" w:cs="B Mitra"/>
          <w:sz w:val="28"/>
          <w:szCs w:val="28"/>
          <w:rtl/>
        </w:rPr>
        <w:t xml:space="preserve"> </w:t>
      </w:r>
    </w:p>
    <w:p w:rsidR="00465559" w:rsidRDefault="00465559" w:rsidP="00287268">
      <w:pPr>
        <w:spacing w:after="120"/>
        <w:jc w:val="both"/>
        <w:rPr>
          <w:rFonts w:ascii="IRBadr" w:hAnsi="IRBadr" w:cs="B Mitra"/>
          <w:sz w:val="28"/>
          <w:szCs w:val="28"/>
          <w:rtl/>
        </w:rPr>
      </w:pPr>
      <w:r w:rsidRPr="002327CE">
        <w:rPr>
          <w:rFonts w:ascii="IRBadr" w:hAnsi="IRBadr" w:cs="B Mitra"/>
          <w:sz w:val="28"/>
          <w:szCs w:val="28"/>
          <w:rtl/>
        </w:rPr>
        <w:t>در پاسخ اشکال مزبور میتوان گفت: احتمال نقیض در علوم عاديه به لحاظ امکان ذاتی است، یعنی تبدیل کوه به طلا، اسحاله ذاتی ندارد، ولی در شرایط عادی اطمینان و یقین داریم که واقع نمی شود. و مراد از عدم احتمال نقیض در تعریف، همین معناست استحاله وقوعی و عادی است نه استحاله ذاتی)</w:t>
      </w:r>
      <w:r w:rsidR="00287268">
        <w:rPr>
          <w:rFonts w:ascii="IRBadr" w:hAnsi="IRBadr" w:cs="B Mitra" w:hint="cs"/>
          <w:sz w:val="28"/>
          <w:szCs w:val="28"/>
          <w:rtl/>
        </w:rPr>
        <w:t>.</w:t>
      </w:r>
      <w:r w:rsidR="00287268">
        <w:rPr>
          <w:rStyle w:val="FootnoteReference"/>
          <w:rFonts w:ascii="IRBadr" w:hAnsi="IRBadr" w:cs="B Mitra"/>
          <w:sz w:val="28"/>
          <w:szCs w:val="28"/>
          <w:rtl/>
        </w:rPr>
        <w:footnoteReference w:id="7"/>
      </w:r>
      <w:r w:rsidRPr="002327CE">
        <w:rPr>
          <w:rFonts w:ascii="IRBadr" w:hAnsi="IRBadr" w:cs="B Mitra"/>
          <w:sz w:val="28"/>
          <w:szCs w:val="28"/>
          <w:rtl/>
        </w:rPr>
        <w:t xml:space="preserve"> </w:t>
      </w:r>
    </w:p>
    <w:p w:rsidR="00465559" w:rsidRPr="002327CE" w:rsidRDefault="00465559" w:rsidP="00287268">
      <w:pPr>
        <w:spacing w:after="120"/>
        <w:jc w:val="both"/>
        <w:rPr>
          <w:rFonts w:ascii="IRBadr" w:hAnsi="IRBadr" w:cs="B Mitra"/>
          <w:sz w:val="28"/>
          <w:szCs w:val="28"/>
          <w:rtl/>
        </w:rPr>
      </w:pPr>
      <w:r w:rsidRPr="002327CE">
        <w:rPr>
          <w:rFonts w:ascii="IRBadr" w:hAnsi="IRBadr" w:cs="B Mitra"/>
          <w:sz w:val="28"/>
          <w:szCs w:val="28"/>
          <w:rtl/>
        </w:rPr>
        <w:t xml:space="preserve">۱۲. بهتر است که به جای واژه «تمييز» که در تعریف پیشین به کار رفته بود، واژه «انکشاف» را به کار برده بگوییم: علم، صفتی است که متعلق آن را برای آن کس که دارای این صفت می‌باشد، منکشف و نمایان می‌سازد و لازمه اش این است که از غیر آن متمایز می‌شود. انکشاف، یا عین هویت علم است یا لازمه آن، و در هر دو فرض، تمییز یافتن متعلق علم، متفرع بر انکشاف آن برای عالم است.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برخی از فلاسفه اسلامی، بر این که ویژگی علم کاشفیت است، تأکید و تصریح کرده‌‌اند. صدر المتألهین در این باره گفته است: «ان العلم يستلزم انکشاف المعلوم عند العالم»: علم مستلزم انکشاف معلوم نزد عالم است.</w:t>
      </w:r>
      <w:r w:rsidR="00287268">
        <w:rPr>
          <w:rStyle w:val="FootnoteReference"/>
          <w:rFonts w:ascii="IRBadr" w:hAnsi="IRBadr" w:cs="B Mitra"/>
          <w:sz w:val="28"/>
          <w:szCs w:val="28"/>
          <w:rtl/>
        </w:rPr>
        <w:footnoteReference w:id="8"/>
      </w:r>
      <w:r w:rsidRPr="002327CE">
        <w:rPr>
          <w:rFonts w:ascii="IRBadr" w:hAnsi="IRBadr" w:cs="B Mitra"/>
          <w:sz w:val="28"/>
          <w:szCs w:val="28"/>
          <w:rtl/>
        </w:rPr>
        <w:t xml:space="preserve"> وی درباره عالم بدن خداوند به اشیاء گفته است: عالميته تعالى بحيث ينكشف له الاشياء»: عالم بودن خداوند به این معناست که اشیاء برای خداوند منکشف می‌باشند. </w:t>
      </w:r>
      <w:r w:rsidR="00287268">
        <w:rPr>
          <w:rStyle w:val="FootnoteReference"/>
          <w:rFonts w:ascii="IRBadr" w:hAnsi="IRBadr" w:cs="B Mitra"/>
          <w:sz w:val="28"/>
          <w:szCs w:val="28"/>
          <w:rtl/>
        </w:rPr>
        <w:footnoteReference w:id="9"/>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علامه طباطبایی، در پاسخ ایده آلیستها که گفته‌‌اند: انسان در مقام ادراک، چیزی غیر از فکر و صورتهای ذهنی ندارد، پس راهی برای اثبات وجود عالم خارج از عالم ذهن وجود ندارد، گفته است: «اگر چه پیوسته علم دستگیر ما می‌شود نه معلوم، ولی پیوسته علم با خاصه كاشفیت خود دستگیر می‌شود نه بی خاصة، وگرنه علم نخواهد بود»</w:t>
      </w:r>
      <w:r w:rsidR="00287268">
        <w:rPr>
          <w:rStyle w:val="FootnoteReference"/>
          <w:rFonts w:ascii="IRBadr" w:hAnsi="IRBadr" w:cs="B Mitra"/>
          <w:sz w:val="28"/>
          <w:szCs w:val="28"/>
          <w:rtl/>
        </w:rPr>
        <w:footnoteReference w:id="10"/>
      </w:r>
      <w:r w:rsidRPr="002327CE">
        <w:rPr>
          <w:rFonts w:ascii="IRBadr" w:hAnsi="IRBadr" w:cs="B Mitra"/>
          <w:sz w:val="28"/>
          <w:szCs w:val="28"/>
          <w:rtl/>
        </w:rPr>
        <w:t xml:space="preserve">. </w:t>
      </w:r>
    </w:p>
    <w:p w:rsidR="00762F9E" w:rsidRPr="00F14D8C" w:rsidRDefault="00762F9E" w:rsidP="00913503">
      <w:pPr>
        <w:jc w:val="both"/>
        <w:rPr>
          <w:rFonts w:ascii="Noor_Mitra" w:hAnsi="Noor_Mitra" w:cs="Noor_Mitra"/>
          <w:sz w:val="28"/>
          <w:szCs w:val="28"/>
          <w:rtl/>
          <w:lang w:bidi="fa-IR"/>
        </w:rPr>
      </w:pPr>
    </w:p>
    <w:p w:rsidR="00762F9E" w:rsidRDefault="00762F9E" w:rsidP="00913503">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830" w:rsidRDefault="00676830" w:rsidP="00BC6EBB">
      <w:pPr>
        <w:spacing w:after="0" w:line="240" w:lineRule="auto"/>
      </w:pPr>
      <w:r>
        <w:separator/>
      </w:r>
    </w:p>
  </w:endnote>
  <w:endnote w:type="continuationSeparator" w:id="0">
    <w:p w:rsidR="00676830" w:rsidRDefault="0067683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830" w:rsidRDefault="00676830" w:rsidP="00BC6EBB">
      <w:pPr>
        <w:spacing w:after="0" w:line="240" w:lineRule="auto"/>
      </w:pPr>
      <w:r>
        <w:separator/>
      </w:r>
    </w:p>
  </w:footnote>
  <w:footnote w:type="continuationSeparator" w:id="0">
    <w:p w:rsidR="00676830" w:rsidRDefault="00676830" w:rsidP="00BC6EBB">
      <w:pPr>
        <w:spacing w:after="0" w:line="240" w:lineRule="auto"/>
      </w:pPr>
      <w:r>
        <w:continuationSeparator/>
      </w:r>
    </w:p>
  </w:footnote>
  <w:footnote w:id="1">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شرح المواقف ، ج ۱، ص ۶ة التعريفات، ص۱۱۰</w:t>
      </w:r>
      <w:r w:rsidRPr="00287268">
        <w:rPr>
          <w:rFonts w:ascii="IRBadr" w:hAnsi="IRBadr" w:cs="B Mitra" w:hint="cs"/>
          <w:sz w:val="20"/>
          <w:szCs w:val="20"/>
          <w:rtl/>
        </w:rPr>
        <w:t xml:space="preserve">؛ </w:t>
      </w:r>
      <w:r w:rsidRPr="00287268">
        <w:rPr>
          <w:rFonts w:ascii="IRBadr" w:hAnsi="IRBadr" w:cs="B Mitra"/>
          <w:sz w:val="20"/>
          <w:szCs w:val="20"/>
          <w:rtl/>
        </w:rPr>
        <w:t>شرح الشمسية، ص۳۰</w:t>
      </w:r>
      <w:r w:rsidRPr="00287268">
        <w:rPr>
          <w:rFonts w:ascii="IRBadr" w:hAnsi="IRBadr" w:cs="B Mitra" w:hint="cs"/>
          <w:sz w:val="20"/>
          <w:szCs w:val="20"/>
          <w:rtl/>
        </w:rPr>
        <w:t xml:space="preserve">؛ </w:t>
      </w:r>
      <w:r w:rsidRPr="00287268">
        <w:rPr>
          <w:rFonts w:ascii="IRBadr" w:hAnsi="IRBadr" w:cs="B Mitra"/>
          <w:sz w:val="20"/>
          <w:szCs w:val="20"/>
          <w:rtl/>
        </w:rPr>
        <w:t>حاشیه ملاعبدالله یزدی، ص۱۸</w:t>
      </w:r>
      <w:r w:rsidRPr="00287268">
        <w:rPr>
          <w:rFonts w:ascii="IRBadr" w:hAnsi="IRBadr" w:cs="B Mitra" w:hint="cs"/>
          <w:sz w:val="20"/>
          <w:szCs w:val="20"/>
          <w:rtl/>
        </w:rPr>
        <w:t xml:space="preserve">؛ </w:t>
      </w:r>
      <w:r w:rsidRPr="00287268">
        <w:rPr>
          <w:rFonts w:ascii="IRBadr" w:hAnsi="IRBadr" w:cs="B Mitra"/>
          <w:sz w:val="20"/>
          <w:szCs w:val="20"/>
          <w:rtl/>
        </w:rPr>
        <w:t xml:space="preserve">رسالة التصور و التصديق، ص۴۶. </w:t>
      </w:r>
      <w:r w:rsidRPr="00287268">
        <w:rPr>
          <w:rFonts w:ascii="IRBadr" w:hAnsi="IRBadr" w:cs="B Mitra" w:hint="cs"/>
          <w:sz w:val="20"/>
          <w:szCs w:val="20"/>
          <w:rtl/>
        </w:rPr>
        <w:t xml:space="preserve">؛ </w:t>
      </w:r>
      <w:r w:rsidRPr="00287268">
        <w:rPr>
          <w:rFonts w:ascii="IRBadr" w:hAnsi="IRBadr" w:cs="B Mitra"/>
          <w:sz w:val="20"/>
          <w:szCs w:val="20"/>
          <w:rtl/>
        </w:rPr>
        <w:t xml:space="preserve">المنطق، ص۱۴. </w:t>
      </w:r>
    </w:p>
  </w:footnote>
  <w:footnote w:id="2">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العلم عبارة عن حضور المعلوم عند العالم. الاسرار الخفية في العلوم العقلية، ص۵۶۱؛ نظرية المعرفة، ص۳۴.  </w:t>
      </w:r>
    </w:p>
  </w:footnote>
  <w:footnote w:id="3">
    <w:p w:rsidR="00287268" w:rsidRPr="00287268" w:rsidRDefault="00287268" w:rsidP="00287268">
      <w:pPr>
        <w:spacing w:after="120"/>
        <w:jc w:val="both"/>
        <w:rPr>
          <w:rFonts w:ascii="IRBadr" w:hAnsi="IRBadr" w:cs="B Mitra"/>
          <w:sz w:val="20"/>
          <w:szCs w:val="20"/>
          <w:rtl/>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نهاية الحكمة، مرحله ۱۱، فصل اول؛ بداية الحكمة، مرحله ۱۱، فصل اول. </w:t>
      </w:r>
    </w:p>
  </w:footnote>
  <w:footnote w:id="4">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سوره سبأ، آیه ۳. </w:t>
      </w:r>
    </w:p>
  </w:footnote>
  <w:footnote w:id="5">
    <w:p w:rsidR="00287268" w:rsidRPr="00287268" w:rsidRDefault="00287268" w:rsidP="00287268">
      <w:pPr>
        <w:spacing w:after="120"/>
        <w:jc w:val="both"/>
        <w:rPr>
          <w:rFonts w:ascii="IRBadr" w:hAnsi="IRBadr" w:cs="B Mitra"/>
          <w:sz w:val="20"/>
          <w:szCs w:val="20"/>
          <w:rtl/>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انه صفة توجب لمحلها تمييز لا يحتمل النقيض. شرح المواقف، ج۱، ص۷۷ - ۷۸. این تعریف از صاحب مواقف است. </w:t>
      </w:r>
    </w:p>
  </w:footnote>
  <w:footnote w:id="6">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 xml:space="preserve">همان، ص ۸۲ </w:t>
      </w:r>
    </w:p>
  </w:footnote>
  <w:footnote w:id="7">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sz w:val="20"/>
          <w:szCs w:val="20"/>
          <w:rtl/>
        </w:rPr>
        <w:t>ان المراد بعدم احتمال النقيض، جزم العقل بان النقيض ليس واقعة في نفس الامر البتة، و ان كان ممكنا في ذاته. شرح المواقف، ج۱، ص۸۳، حاشیه سیالکوتی</w:t>
      </w:r>
      <w:r w:rsidRPr="00287268">
        <w:rPr>
          <w:rFonts w:ascii="Sakkal Majalla" w:hAnsi="Sakkal Majalla" w:cs="Sakkal Majalla" w:hint="cs"/>
          <w:sz w:val="20"/>
          <w:szCs w:val="20"/>
          <w:rtl/>
        </w:rPr>
        <w:t>۔</w:t>
      </w:r>
      <w:r w:rsidRPr="00287268">
        <w:rPr>
          <w:rFonts w:ascii="IRBadr" w:hAnsi="IRBadr" w:cs="B Mitra"/>
          <w:sz w:val="20"/>
          <w:szCs w:val="20"/>
          <w:rtl/>
        </w:rPr>
        <w:t xml:space="preserve"> </w:t>
      </w:r>
    </w:p>
  </w:footnote>
  <w:footnote w:id="8">
    <w:p w:rsidR="00287268" w:rsidRPr="00287268" w:rsidRDefault="00287268" w:rsidP="00287268">
      <w:pPr>
        <w:spacing w:after="120"/>
        <w:jc w:val="both"/>
        <w:rPr>
          <w:rFonts w:ascii="IRBadr" w:hAnsi="IRBadr" w:cs="B Mitra"/>
          <w:sz w:val="20"/>
          <w:szCs w:val="20"/>
        </w:rPr>
      </w:pPr>
      <w:r w:rsidRPr="00287268">
        <w:rPr>
          <w:rStyle w:val="FootnoteReference"/>
          <w:sz w:val="20"/>
          <w:szCs w:val="20"/>
        </w:rPr>
        <w:footnoteRef/>
      </w:r>
      <w:r w:rsidRPr="00287268">
        <w:rPr>
          <w:sz w:val="20"/>
          <w:szCs w:val="20"/>
          <w:rtl/>
        </w:rPr>
        <w:t xml:space="preserve"> </w:t>
      </w:r>
      <w:r w:rsidRPr="00287268">
        <w:rPr>
          <w:rFonts w:ascii="IRBadr" w:hAnsi="IRBadr" w:cs="B Mitra" w:hint="cs"/>
          <w:sz w:val="20"/>
          <w:szCs w:val="20"/>
          <w:rtl/>
        </w:rPr>
        <w:t>المبدأ</w:t>
      </w:r>
      <w:r w:rsidRPr="00287268">
        <w:rPr>
          <w:rFonts w:ascii="IRBadr" w:hAnsi="IRBadr" w:cs="B Mitra"/>
          <w:sz w:val="20"/>
          <w:szCs w:val="20"/>
          <w:rtl/>
        </w:rPr>
        <w:t xml:space="preserve"> </w:t>
      </w:r>
      <w:r w:rsidRPr="00287268">
        <w:rPr>
          <w:rFonts w:ascii="IRBadr" w:hAnsi="IRBadr" w:cs="B Mitra" w:hint="cs"/>
          <w:sz w:val="20"/>
          <w:szCs w:val="20"/>
          <w:rtl/>
        </w:rPr>
        <w:t>و</w:t>
      </w:r>
      <w:r w:rsidRPr="00287268">
        <w:rPr>
          <w:rFonts w:ascii="IRBadr" w:hAnsi="IRBadr" w:cs="B Mitra"/>
          <w:sz w:val="20"/>
          <w:szCs w:val="20"/>
          <w:rtl/>
        </w:rPr>
        <w:t xml:space="preserve"> </w:t>
      </w:r>
      <w:r w:rsidRPr="00287268">
        <w:rPr>
          <w:rFonts w:ascii="IRBadr" w:hAnsi="IRBadr" w:cs="B Mitra" w:hint="cs"/>
          <w:sz w:val="20"/>
          <w:szCs w:val="20"/>
          <w:rtl/>
        </w:rPr>
        <w:t>المعاد،</w:t>
      </w:r>
      <w:r w:rsidRPr="00287268">
        <w:rPr>
          <w:rFonts w:ascii="IRBadr" w:hAnsi="IRBadr" w:cs="B Mitra"/>
          <w:sz w:val="20"/>
          <w:szCs w:val="20"/>
          <w:rtl/>
        </w:rPr>
        <w:t xml:space="preserve"> </w:t>
      </w:r>
      <w:r w:rsidRPr="00287268">
        <w:rPr>
          <w:rFonts w:ascii="IRBadr" w:hAnsi="IRBadr" w:cs="B Mitra" w:hint="cs"/>
          <w:sz w:val="20"/>
          <w:szCs w:val="20"/>
          <w:rtl/>
        </w:rPr>
        <w:t>ج۱،</w:t>
      </w:r>
      <w:r w:rsidRPr="00287268">
        <w:rPr>
          <w:rFonts w:ascii="IRBadr" w:hAnsi="IRBadr" w:cs="B Mitra"/>
          <w:sz w:val="20"/>
          <w:szCs w:val="20"/>
          <w:rtl/>
        </w:rPr>
        <w:t xml:space="preserve"> </w:t>
      </w:r>
      <w:r w:rsidRPr="00287268">
        <w:rPr>
          <w:rFonts w:ascii="IRBadr" w:hAnsi="IRBadr" w:cs="B Mitra" w:hint="cs"/>
          <w:sz w:val="20"/>
          <w:szCs w:val="20"/>
          <w:rtl/>
        </w:rPr>
        <w:t>ص۱۵۵</w:t>
      </w:r>
    </w:p>
  </w:footnote>
  <w:footnote w:id="9">
    <w:p w:rsidR="00287268" w:rsidRPr="00287268" w:rsidRDefault="00287268" w:rsidP="00287268">
      <w:pPr>
        <w:spacing w:after="120"/>
        <w:jc w:val="both"/>
        <w:rPr>
          <w:rFonts w:ascii="IRBadr" w:hAnsi="IRBadr" w:cs="B Mitra"/>
          <w:sz w:val="20"/>
          <w:szCs w:val="20"/>
          <w:rtl/>
        </w:rPr>
      </w:pPr>
      <w:r w:rsidRPr="00287268">
        <w:rPr>
          <w:rStyle w:val="FootnoteReference"/>
          <w:sz w:val="20"/>
          <w:szCs w:val="20"/>
        </w:rPr>
        <w:footnoteRef/>
      </w:r>
      <w:r w:rsidRPr="00287268">
        <w:rPr>
          <w:sz w:val="20"/>
          <w:szCs w:val="20"/>
          <w:rtl/>
        </w:rPr>
        <w:t xml:space="preserve"> </w:t>
      </w:r>
      <w:r w:rsidRPr="00287268">
        <w:rPr>
          <w:rFonts w:ascii="IRBadr" w:hAnsi="IRBadr" w:cs="B Mitra" w:hint="cs"/>
          <w:sz w:val="20"/>
          <w:szCs w:val="20"/>
          <w:rtl/>
        </w:rPr>
        <w:t>همان،</w:t>
      </w:r>
      <w:r w:rsidRPr="00287268">
        <w:rPr>
          <w:rFonts w:ascii="IRBadr" w:hAnsi="IRBadr" w:cs="B Mitra"/>
          <w:sz w:val="20"/>
          <w:szCs w:val="20"/>
          <w:rtl/>
        </w:rPr>
        <w:t xml:space="preserve"> </w:t>
      </w:r>
      <w:r w:rsidRPr="00287268">
        <w:rPr>
          <w:rFonts w:ascii="IRBadr" w:hAnsi="IRBadr" w:cs="B Mitra" w:hint="cs"/>
          <w:sz w:val="20"/>
          <w:szCs w:val="20"/>
          <w:rtl/>
        </w:rPr>
        <w:t>ص۱۵۷</w:t>
      </w:r>
      <w:r w:rsidRPr="00287268">
        <w:rPr>
          <w:rFonts w:ascii="IRBadr" w:hAnsi="IRBadr" w:cs="B Mitra"/>
          <w:sz w:val="20"/>
          <w:szCs w:val="20"/>
          <w:rtl/>
        </w:rPr>
        <w:t xml:space="preserve"> </w:t>
      </w:r>
      <w:r w:rsidRPr="00287268">
        <w:rPr>
          <w:rFonts w:ascii="IRBadr" w:hAnsi="IRBadr" w:cs="B Mitra" w:hint="cs"/>
          <w:sz w:val="20"/>
          <w:szCs w:val="20"/>
          <w:rtl/>
        </w:rPr>
        <w:t>و</w:t>
      </w:r>
      <w:r w:rsidRPr="00287268">
        <w:rPr>
          <w:rFonts w:ascii="IRBadr" w:hAnsi="IRBadr" w:cs="B Mitra"/>
          <w:sz w:val="20"/>
          <w:szCs w:val="20"/>
          <w:rtl/>
        </w:rPr>
        <w:t xml:space="preserve"> </w:t>
      </w:r>
      <w:r w:rsidRPr="00287268">
        <w:rPr>
          <w:rFonts w:ascii="IRBadr" w:hAnsi="IRBadr" w:cs="B Mitra" w:hint="cs"/>
          <w:sz w:val="20"/>
          <w:szCs w:val="20"/>
          <w:rtl/>
        </w:rPr>
        <w:t>۱۹۳</w:t>
      </w:r>
      <w:r w:rsidRPr="00287268">
        <w:rPr>
          <w:rFonts w:ascii="IRBadr" w:hAnsi="IRBadr" w:cs="B Mitra"/>
          <w:sz w:val="20"/>
          <w:szCs w:val="20"/>
          <w:rtl/>
        </w:rPr>
        <w:t xml:space="preserve">. </w:t>
      </w:r>
    </w:p>
  </w:footnote>
  <w:footnote w:id="10">
    <w:p w:rsidR="00287268" w:rsidRPr="00287268" w:rsidRDefault="00287268" w:rsidP="00287268">
      <w:pPr>
        <w:pStyle w:val="FootnoteText"/>
        <w:rPr>
          <w:rtl/>
          <w:lang w:bidi="fa-IR"/>
        </w:rPr>
      </w:pPr>
      <w:r w:rsidRPr="00287268">
        <w:rPr>
          <w:rStyle w:val="FootnoteReference"/>
        </w:rPr>
        <w:footnoteRef/>
      </w:r>
      <w:r w:rsidRPr="00287268">
        <w:rPr>
          <w:rtl/>
        </w:rPr>
        <w:t xml:space="preserve"> </w:t>
      </w:r>
      <w:r w:rsidRPr="00287268">
        <w:rPr>
          <w:rFonts w:ascii="IRBadr" w:hAnsi="IRBadr" w:cs="B Mitra" w:hint="cs"/>
          <w:rtl/>
        </w:rPr>
        <w:t>اصول</w:t>
      </w:r>
      <w:r w:rsidRPr="00287268">
        <w:rPr>
          <w:rFonts w:ascii="IRBadr" w:hAnsi="IRBadr" w:cs="B Mitra"/>
          <w:rtl/>
        </w:rPr>
        <w:t xml:space="preserve"> </w:t>
      </w:r>
      <w:r w:rsidRPr="00287268">
        <w:rPr>
          <w:rFonts w:ascii="IRBadr" w:hAnsi="IRBadr" w:cs="B Mitra" w:hint="cs"/>
          <w:rtl/>
        </w:rPr>
        <w:t>فلسفه</w:t>
      </w:r>
      <w:r w:rsidRPr="00287268">
        <w:rPr>
          <w:rFonts w:ascii="IRBadr" w:hAnsi="IRBadr" w:cs="B Mitra"/>
          <w:rtl/>
        </w:rPr>
        <w:t xml:space="preserve"> </w:t>
      </w:r>
      <w:r w:rsidRPr="00287268">
        <w:rPr>
          <w:rFonts w:ascii="IRBadr" w:hAnsi="IRBadr" w:cs="B Mitra" w:hint="cs"/>
          <w:rtl/>
        </w:rPr>
        <w:t>و</w:t>
      </w:r>
      <w:r w:rsidRPr="00287268">
        <w:rPr>
          <w:rFonts w:ascii="IRBadr" w:hAnsi="IRBadr" w:cs="B Mitra"/>
          <w:rtl/>
        </w:rPr>
        <w:t xml:space="preserve"> </w:t>
      </w:r>
      <w:r w:rsidRPr="00287268">
        <w:rPr>
          <w:rFonts w:ascii="IRBadr" w:hAnsi="IRBadr" w:cs="B Mitra" w:hint="cs"/>
          <w:rtl/>
        </w:rPr>
        <w:t>روش</w:t>
      </w:r>
      <w:r w:rsidRPr="00287268">
        <w:rPr>
          <w:rFonts w:ascii="IRBadr" w:hAnsi="IRBadr" w:cs="B Mitra"/>
          <w:rtl/>
        </w:rPr>
        <w:t xml:space="preserve"> </w:t>
      </w:r>
      <w:r w:rsidRPr="00287268">
        <w:rPr>
          <w:rFonts w:ascii="IRBadr" w:hAnsi="IRBadr" w:cs="B Mitra" w:hint="cs"/>
          <w:rtl/>
        </w:rPr>
        <w:t>رئالیسم،</w:t>
      </w:r>
      <w:r w:rsidRPr="00287268">
        <w:rPr>
          <w:rFonts w:ascii="IRBadr" w:hAnsi="IRBadr" w:cs="B Mitra"/>
          <w:rtl/>
        </w:rPr>
        <w:t xml:space="preserve"> </w:t>
      </w:r>
      <w:r w:rsidRPr="00287268">
        <w:rPr>
          <w:rFonts w:ascii="IRBadr" w:hAnsi="IRBadr" w:cs="B Mitra" w:hint="cs"/>
          <w:rtl/>
        </w:rPr>
        <w:t>ج</w:t>
      </w:r>
      <w:r w:rsidRPr="00287268">
        <w:rPr>
          <w:rFonts w:ascii="IRBadr" w:hAnsi="IRBadr" w:cs="B Mitra"/>
          <w:rtl/>
        </w:rPr>
        <w:t xml:space="preserve"> </w:t>
      </w:r>
      <w:r w:rsidRPr="00287268">
        <w:rPr>
          <w:rFonts w:ascii="IRBadr" w:hAnsi="IRBadr" w:cs="B Mitra" w:hint="cs"/>
          <w:rtl/>
        </w:rPr>
        <w:t>۱،</w:t>
      </w:r>
      <w:r w:rsidRPr="00287268">
        <w:rPr>
          <w:rFonts w:ascii="IRBadr" w:hAnsi="IRBadr" w:cs="B Mitra"/>
          <w:rtl/>
        </w:rPr>
        <w:t xml:space="preserve"> </w:t>
      </w:r>
      <w:r w:rsidRPr="00287268">
        <w:rPr>
          <w:rFonts w:ascii="IRBadr" w:hAnsi="IRBadr" w:cs="B Mitra" w:hint="cs"/>
          <w:rtl/>
        </w:rPr>
        <w:t>ص</w:t>
      </w:r>
      <w:r w:rsidRPr="00287268">
        <w:rPr>
          <w:rFonts w:ascii="IRBadr" w:hAnsi="IRBadr" w:cs="B Mitra"/>
          <w:rtl/>
        </w:rPr>
        <w:t xml:space="preserve"> </w:t>
      </w:r>
      <w:r w:rsidRPr="00287268">
        <w:rPr>
          <w:rFonts w:ascii="IRBadr" w:hAnsi="IRBadr" w:cs="B Mitra" w:hint="cs"/>
          <w:rtl/>
        </w:rPr>
        <w:t>۳۳</w:t>
      </w:r>
      <w:r w:rsidRPr="00287268">
        <w:rPr>
          <w:rFonts w:ascii="IRBadr" w:hAnsi="IRBadr" w:cs="B Mitra"/>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8106F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8106FC">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8106FC">
      <w:rPr>
        <w:rFonts w:ascii="Tahoma" w:hAnsi="Tahoma" w:cs="Traditional Arabic" w:hint="cs"/>
        <w:sz w:val="28"/>
        <w:szCs w:val="28"/>
        <w:rtl/>
        <w:lang w:bidi="fa-IR"/>
      </w:rPr>
      <w:t>03</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830"/>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06FC"/>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949FD89-5246-43CA-A653-425884BA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2019-12-23T10:46:00Z</dcterms:created>
  <dcterms:modified xsi:type="dcterms:W3CDTF">2019-12-23T10:46:00Z</dcterms:modified>
</cp:coreProperties>
</file>