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4C" w:rsidRPr="002C404C" w:rsidRDefault="002C404C" w:rsidP="002C404C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2C404C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2C404C">
        <w:rPr>
          <w:rFonts w:ascii="Traditional Arabic" w:hAnsi="Traditional Arabic" w:cs="Traditional Arabic"/>
          <w:color w:val="000000"/>
          <w:sz w:val="26"/>
          <w:szCs w:val="26"/>
          <w:rtl/>
        </w:rPr>
        <w:t>بررسی ادله وضع برای اعم/مشتق</w:t>
      </w:r>
    </w:p>
    <w:p w:rsidR="00A42F00" w:rsidRPr="002C404C" w:rsidRDefault="006C3A31" w:rsidP="00CF24F8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استدلال سوم اعمی ها</w:t>
      </w:r>
      <w:bookmarkStart w:id="0" w:name="_GoBack"/>
      <w:bookmarkEnd w:id="0"/>
    </w:p>
    <w:p w:rsidR="00A42F00" w:rsidRPr="002C404C" w:rsidRDefault="00A42F00" w:rsidP="0027457A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بحث </w:t>
      </w:r>
      <w:r w:rsidR="009D6C7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استدلال اعمی به آیه شریفه «</w:t>
      </w:r>
      <w:r w:rsidR="009D6C7F" w:rsidRPr="002C404C">
        <w:rPr>
          <w:rFonts w:ascii="Traditional Arabic" w:hAnsi="Traditional Arabic" w:cs="Traditional Arabic" w:hint="cs"/>
          <w:color w:val="008000"/>
          <w:sz w:val="28"/>
          <w:szCs w:val="28"/>
          <w:rtl/>
          <w:lang w:bidi="fa-IR"/>
        </w:rPr>
        <w:t>لا ینال عهدی الظالمین</w:t>
      </w:r>
      <w:r w:rsidR="009D6C7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</w:t>
      </w:r>
      <w:r w:rsidR="009D6C7F" w:rsidRPr="002C404C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1"/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بود</w:t>
      </w:r>
      <w:r w:rsidR="009D6C7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9D6C7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وجه استدلال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9D6C7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نیز 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این بود که </w:t>
      </w:r>
      <w:r w:rsidR="0027457A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با توجه به آنکه 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زمانی که </w:t>
      </w:r>
      <w:r w:rsidR="009D6C7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اشخاصی که سابقه ظلم داشتند،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امامت مسلمین را به عهده گرفتند ظالم نبودند و مسلمان بودند، پس زمانی می توان به این آیه برای رد امامت اینها استدلال نمود که مشتق اعم از منقضی باشد تا </w:t>
      </w:r>
      <w:r w:rsidR="006C3A31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عنوان 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ظالم بر </w:t>
      </w:r>
      <w:r w:rsidR="009D6C7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ایشان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صدق </w:t>
      </w:r>
      <w:r w:rsidR="009D6C7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کند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27457A" w:rsidRPr="002C404C" w:rsidRDefault="00A42F00" w:rsidP="0027457A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جواب داده شده</w:t>
      </w:r>
      <w:r w:rsidR="009D6C7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 نیاز نیست موضوع ظالمیت اعم از منقضی باشد، بلکه آن موقع که متلبس به ظلم بودند در همان زمان محکوم شدند به حکمی که عام و مستمر است </w:t>
      </w:r>
      <w:r w:rsidR="006C3A31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آن حکم سلب صلاحیت امامت است تا آخر عمر</w:t>
      </w:r>
      <w:r w:rsidR="00C02BB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همان موقع که</w:t>
      </w:r>
      <w:r w:rsidR="0027457A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شخص</w:t>
      </w:r>
      <w:r w:rsidR="00C02BB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بت پرستی کرد</w:t>
      </w:r>
      <w:r w:rsidR="0027457A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C02BB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حکم سلب صلاحیت شامل او شد</w:t>
      </w:r>
      <w:r w:rsidR="0027457A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C02BB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6C3A31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حکم</w:t>
      </w:r>
      <w:r w:rsidR="00C02BB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عام است ولو اینکه موضوع زائل </w:t>
      </w:r>
      <w:r w:rsidR="009D6C7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گردد.</w:t>
      </w:r>
    </w:p>
    <w:p w:rsidR="00A42F00" w:rsidRPr="002C404C" w:rsidRDefault="00C02BBF" w:rsidP="0027457A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حالِ این قضیه حالِ ملاقی نجاست است، ملاقات ممکن است یک لحظه باشد اما نجاستِ آن استمرار دارد، </w:t>
      </w:r>
      <w:r w:rsidR="0027457A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یعنی 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حکم سلب صلاحیت در ما نحن فیه </w:t>
      </w:r>
      <w:r w:rsidR="009D6C7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نیز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همینطور است.</w:t>
      </w:r>
    </w:p>
    <w:p w:rsidR="006C3A31" w:rsidRPr="002C404C" w:rsidRDefault="006C3A31" w:rsidP="006C3A31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بررسی مدعای فخر رازی پیرامون آیه</w:t>
      </w:r>
    </w:p>
    <w:p w:rsidR="000333CD" w:rsidRPr="002C404C" w:rsidRDefault="00C02BBF" w:rsidP="0027457A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محقق نائینی </w:t>
      </w:r>
      <w:r w:rsidR="006C30D6" w:rsidRPr="002C404C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از فخر رازی </w:t>
      </w:r>
      <w:r w:rsidRPr="002C404C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نقل می کند</w:t>
      </w:r>
      <w:r w:rsidR="006C30D6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فخر اعتراف کرده که این استدلال درست است و این آیه دلالت بر عدم صلاحیت خلفای ثلاثه دارد.</w:t>
      </w:r>
      <w:r w:rsidR="006C30D6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6C30D6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محقق خوئی 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محاضرات </w:t>
      </w:r>
      <w:r w:rsidR="006C30D6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فرمای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</w:t>
      </w:r>
      <w:r w:rsidR="006C30D6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نسبتی که محقق نائینی </w:t>
      </w:r>
      <w:r w:rsidR="006C30D6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فخر رازی </w:t>
      </w:r>
      <w:r w:rsidR="000333CD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داده صحیح نیست.</w:t>
      </w:r>
      <w:r w:rsidR="000333CD" w:rsidRPr="002C404C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2"/>
      </w:r>
    </w:p>
    <w:p w:rsidR="000333CD" w:rsidRPr="002C404C" w:rsidRDefault="00C02BBF" w:rsidP="006C30D6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فخر رازی چنین گفته است: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«</w:t>
      </w:r>
      <w:r w:rsidRPr="002C404C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ان الروافض استدلوا بآیه من اوجه ثلاثه</w:t>
      </w:r>
      <w:r w:rsidR="00E26563" w:rsidRPr="002C404C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:</w:t>
      </w:r>
      <w:r w:rsidRPr="002C404C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الاول ان المظالم الصادره منهم حال کفرهم اوجب صدق الظالم علیهم فلا ینالون الامامه فی ذلک الوقت البته فلا یصلحون للامامه مطلقا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 پس از ا</w:t>
      </w:r>
      <w:r w:rsidR="006C30D6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ین بابت است که کسی که بت پرستی 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کند ظالم </w:t>
      </w:r>
      <w:r w:rsidR="006C30D6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بوده و </w:t>
      </w:r>
      <w:r w:rsidR="00373000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ظل</w:t>
      </w:r>
      <w:r w:rsidR="000333CD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 علی النفس و علی الرب </w:t>
      </w:r>
      <w:r w:rsidR="006C30D6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نمود</w:t>
      </w:r>
      <w:r w:rsidR="000333CD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 است.</w:t>
      </w:r>
    </w:p>
    <w:p w:rsidR="00E26563" w:rsidRPr="002C404C" w:rsidRDefault="00373000" w:rsidP="00E26563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«</w:t>
      </w:r>
      <w:r w:rsidR="000333CD" w:rsidRPr="002C404C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الثانی </w:t>
      </w:r>
      <w:r w:rsidRPr="002C404C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انکم حیث لا تقولون بعصمتهم فتجوزون علیهم </w:t>
      </w:r>
      <w:r w:rsidR="000333CD" w:rsidRPr="002C404C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الذنب بالباطن و ا</w:t>
      </w:r>
      <w:r w:rsidRPr="002C404C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لذنب ظلم و الظالم لا یکون اماما فما لم یعرف عصمتهم المودی الی ترک الظلم  قطعا لا یمکن الحکم بامامتهم قطعا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 می گوید حتی اهل سنت هم قائل به عصمت اینها نیستند، سپس</w:t>
      </w:r>
      <w:r w:rsidR="005D335E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فخر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</w:t>
      </w:r>
      <w:r w:rsidR="000333CD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ز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بان ما نقل می کند</w:t>
      </w:r>
      <w:r w:rsidR="005D335E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حالا که قائل به عصمت اینها نیستید پس ذنب در مورد اینها محتمل است، وقتی چنین احتمالی در کار باشد </w:t>
      </w:r>
      <w:r w:rsidR="006C30D6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مساله از جنس 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شبهه مصداقیه </w:t>
      </w:r>
      <w:r w:rsidR="006C30D6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</w:t>
      </w:r>
      <w:r w:rsidR="006C30D6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لذا نمی توان حکم قطعی به امامت نمود</w:t>
      </w:r>
      <w:r w:rsidR="0031672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</w:t>
      </w:r>
      <w:r w:rsidR="005D335E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یعنی چنانکه </w:t>
      </w:r>
      <w:r w:rsidR="0031672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ممکن است امام باشد </w:t>
      </w:r>
      <w:r w:rsidR="005D335E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همچنان نیز </w:t>
      </w:r>
      <w:r w:rsidR="0031672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ممکن است </w:t>
      </w:r>
      <w:r w:rsidR="005D335E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امام </w:t>
      </w:r>
      <w:r w:rsidR="0031672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نباش</w:t>
      </w:r>
      <w:r w:rsidR="005D335E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</w:t>
      </w:r>
      <w:r w:rsidR="0031672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373000" w:rsidRPr="002C404C" w:rsidRDefault="00E26563" w:rsidP="00E26563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بنا بر استدلالی که فخر رازی آورده است</w:t>
      </w:r>
      <w:r w:rsidR="0031672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 نمی توانیم</w:t>
      </w:r>
      <w:r w:rsidR="005D335E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طور قطع</w:t>
      </w:r>
      <w:r w:rsidR="0031672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حکم کنیم</w:t>
      </w:r>
      <w:r w:rsidR="005D335E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1672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حالی که اهل سنت حکم</w:t>
      </w:r>
      <w:r w:rsidR="0027457A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قطعی</w:t>
      </w:r>
      <w:r w:rsidR="0031672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کنند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="0031672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حکم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آنها خلاف مفاد آیه است.</w:t>
      </w:r>
    </w:p>
    <w:p w:rsidR="00E26563" w:rsidRPr="002C404C" w:rsidRDefault="00316728" w:rsidP="0027457A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>«</w:t>
      </w:r>
      <w:r w:rsidRPr="002C404C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الثالث من المعلوم انهم کانوا مشرکین و قد قال الله تعالی ان الظلم لظلم عظیم و الظالم لا ینال عهده و حیث ان الظالم من وجد منه الظلم فی زمان فهو صادق علیه حتی بعد زوال الشرک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» استدلال سوم </w:t>
      </w:r>
      <w:r w:rsidR="0027457A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</w:t>
      </w:r>
      <w:r w:rsidR="0027457A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</w:t>
      </w:r>
      <w:r w:rsidR="0027457A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اطی با استدلال دوم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ندارد</w:t>
      </w:r>
      <w:r w:rsidR="0027457A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بلکه </w:t>
      </w:r>
      <w:r w:rsidR="0027457A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استدلال در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بحث خودمان است، یعنی بنا بر اعم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بودن مشتق از ما انقضی</w:t>
      </w:r>
      <w:r w:rsidR="0027457A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طرح گردیده است. بنا بر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27457A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اعم بودن مشتق 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کسی که در برهه ای از زمان مشرک بود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تا آخر عمر صدق ظالم بر او</w:t>
      </w:r>
      <w:r w:rsidR="0027457A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صادق است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خداوند هم فرموده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لا ینال عهدی الظالمین، لذا عهد امامت به این منقضی نمی رسد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316728" w:rsidRPr="002C404C" w:rsidRDefault="00E26563" w:rsidP="0027457A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ایشان</w:t>
      </w:r>
      <w:r w:rsidR="0031672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سه</w:t>
      </w:r>
      <w:r w:rsidR="0031672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استدل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ال</w:t>
      </w:r>
      <w:r w:rsidR="0031672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را از زبان ما </w:t>
      </w:r>
      <w:r w:rsidR="0027457A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مطرح کرده</w:t>
      </w:r>
      <w:r w:rsidR="0031672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است.</w:t>
      </w:r>
      <w:r w:rsidR="000333CD" w:rsidRPr="002C404C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t xml:space="preserve"> </w:t>
      </w:r>
      <w:r w:rsidR="000333CD" w:rsidRPr="002C404C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3"/>
      </w:r>
    </w:p>
    <w:p w:rsidR="000333CD" w:rsidRPr="002C404C" w:rsidRDefault="000333CD" w:rsidP="000333CD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و فیه</w:t>
      </w:r>
    </w:p>
    <w:p w:rsidR="00E26563" w:rsidRPr="002C404C" w:rsidRDefault="00316728" w:rsidP="00E26563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>ما در جواب می گوییم</w:t>
      </w:r>
      <w:r w:rsidR="00E26563" w:rsidRPr="002C404C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>:</w:t>
      </w:r>
      <w:r w:rsidRPr="002C404C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 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 اعمی نیستیم و این استدلال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ها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را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نیز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قبول نداریم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بلکه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استدلال چهارمی داریم و آن اینکه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</w:p>
    <w:p w:rsidR="00316728" w:rsidRPr="002C404C" w:rsidRDefault="00316728" w:rsidP="00431665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مشتق حقیقت در خصوص متلبس است، اینها زمان</w:t>
      </w:r>
      <w:r w:rsidR="0027457A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تلبس داشته اند و در همان زمان که متلبس بوده اند</w:t>
      </w:r>
      <w:r w:rsidR="00431665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مشمول حکمی اعم از زمان تلبس و زمان انقضا</w:t>
      </w:r>
      <w:r w:rsidR="00431665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شدند.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431665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بنابراین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 مشتق را اعم 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ندانسته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ولی حکم را اعم می دانیم، مانند حکم ملاقات نجاست، ملاقات لحظه ای بوده و تمام شده در حالی که حکمِ نجاستِ آن دوام دارد، شرک هم روح اینها را متنجس </w:t>
      </w:r>
      <w:r w:rsidR="000333CD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نجاستِ شرک 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کرده که</w:t>
      </w:r>
      <w:r w:rsidR="000333CD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نجاست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باقی می ماند، کما اینکه در آیه شریفه هم از بتها به نجاست تعبیر شده، «</w:t>
      </w:r>
      <w:r w:rsidRPr="002C404C">
        <w:rPr>
          <w:rFonts w:ascii="Traditional Arabic" w:hAnsi="Traditional Arabic" w:cs="Traditional Arabic" w:hint="cs"/>
          <w:color w:val="008000"/>
          <w:sz w:val="28"/>
          <w:szCs w:val="28"/>
          <w:rtl/>
          <w:lang w:bidi="fa-IR"/>
        </w:rPr>
        <w:t>واجتنبوا الرجس من الاوثان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</w:t>
      </w:r>
      <w:r w:rsidR="00794A34" w:rsidRPr="002C404C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4"/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در جای دیگر می فرماید «</w:t>
      </w:r>
      <w:r w:rsidRPr="002C404C">
        <w:rPr>
          <w:rFonts w:ascii="Traditional Arabic" w:hAnsi="Traditional Arabic" w:cs="Traditional Arabic" w:hint="cs"/>
          <w:color w:val="008000"/>
          <w:sz w:val="28"/>
          <w:szCs w:val="28"/>
          <w:rtl/>
          <w:lang w:bidi="fa-IR"/>
        </w:rPr>
        <w:t>یا ایها الذین آمنوا انما المشرکون نجس فلا یقرب المسجد الحرام بعد عامهم هذا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</w:t>
      </w:r>
      <w:r w:rsidR="00794A34" w:rsidRPr="002C404C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5"/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431665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نظر ما همین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0333CD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استدلال چهارم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 که فخر رازی 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اشاره ای به آن ننموده است.</w:t>
      </w:r>
    </w:p>
    <w:p w:rsidR="000333CD" w:rsidRPr="002C404C" w:rsidRDefault="000333CD" w:rsidP="000333CD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اشکال فخر رازی به تفسیر ما از آیه</w:t>
      </w:r>
    </w:p>
    <w:p w:rsidR="00E26563" w:rsidRPr="002C404C" w:rsidRDefault="00316728" w:rsidP="00431665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فخر رازی </w:t>
      </w:r>
      <w:r w:rsidR="00E26563" w:rsidRPr="002C404C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در ادامه</w:t>
      </w:r>
      <w:r w:rsidR="00431665" w:rsidRPr="002C404C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 xml:space="preserve"> در صدد جواب ب</w:t>
      </w:r>
      <w:r w:rsidRPr="002C404C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ر آمده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431665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 مثال</w:t>
      </w:r>
      <w:r w:rsidR="000333CD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آورد </w:t>
      </w:r>
      <w:r w:rsidR="002A117D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اینکه اگر کسی قسم خورد که 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</w:t>
      </w:r>
      <w:r w:rsidR="002A117D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کافر سلام نکند، بعد مومنی را پیدا کرد که قبلا کافر بوده است و به او سلام کرد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</w:t>
      </w:r>
      <w:r w:rsidR="00431665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طور 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قطع</w:t>
      </w:r>
      <w:r w:rsidR="002A117D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حنث قسم ن</w:t>
      </w:r>
      <w:r w:rsidR="00E26563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نموده است.</w:t>
      </w:r>
    </w:p>
    <w:p w:rsidR="00316728" w:rsidRPr="002C404C" w:rsidRDefault="002A117D" w:rsidP="00431665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کاملا مشخص است </w:t>
      </w:r>
      <w:r w:rsidR="00C46264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وی 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استدلال ما را منحصر در مسئله مشتق </w:t>
      </w:r>
      <w:r w:rsidR="00C46264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کرده 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به همان هم جواب می دهد که مشتقات مانند ظالم و کافر بر منقضی صدق نمی کنند، لذا وقتی </w:t>
      </w:r>
      <w:r w:rsidR="00C46264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شخصی که قسم خورده</w:t>
      </w:r>
      <w:r w:rsidR="00431665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C46264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به مسلمانی که قبلا کافر بوده سلام کند</w:t>
      </w:r>
      <w:r w:rsidR="00431665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حنث نذر صدق نمی کند.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فخر رازی با این </w:t>
      </w:r>
      <w:r w:rsidR="00C46264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کلام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خواهد به ما جواب دهد</w:t>
      </w:r>
      <w:r w:rsidR="00C46264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 البته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C46264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جواب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نسبت به استدلال سوم درست است، اما استدلال ما این چیزی نیست که او </w:t>
      </w:r>
      <w:r w:rsidR="00431665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پاسخ می دهد</w:t>
      </w:r>
      <w:r w:rsidR="00C9208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0333CD" w:rsidRPr="002C404C" w:rsidRDefault="000333CD" w:rsidP="000333CD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و فیه</w:t>
      </w:r>
    </w:p>
    <w:p w:rsidR="00C92088" w:rsidRPr="002C404C" w:rsidRDefault="00431665" w:rsidP="00C05814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>اما</w:t>
      </w:r>
      <w:r w:rsidR="00C9208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استدلال دیگر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 </w:t>
      </w:r>
      <w:r w:rsidR="00C9208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 فخر رازی جواب</w:t>
      </w:r>
      <w:r w:rsidR="00C46264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آن </w:t>
      </w:r>
      <w:r w:rsidR="00C9208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را</w:t>
      </w:r>
      <w:r w:rsidR="00C46264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نیز</w:t>
      </w:r>
      <w:r w:rsidR="00C9208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نداده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C9208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استدلال دوم خودش است، </w:t>
      </w:r>
      <w:r w:rsidR="00BA116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 گفت:</w:t>
      </w:r>
      <w:r w:rsidR="00C9208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 معتقد به عصمت اینها نیستیم لذا اینها جایز الذنب هستند، وقتی گناه کار بودنشان محتمل باشد ظالم بودنشان هم محتمل می شود، در چنین جایی شبهه مصداقیه است و نمی توان </w:t>
      </w:r>
      <w:r w:rsidR="00C46264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شبهه مصداقیه خود عام </w:t>
      </w:r>
      <w:r w:rsidR="00C9208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رجوع به عام نمود</w:t>
      </w:r>
      <w:r w:rsidR="00BA116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C9208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مثلا در اکرم العلما اگر ما ن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می </w:t>
      </w:r>
      <w:r w:rsidR="00C9208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دانیم زید عالم است یا </w:t>
      </w:r>
      <w:r w:rsidR="00C46264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نه،</w:t>
      </w:r>
      <w:r w:rsidR="00C9208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اکرامش هم واجب نیست</w:t>
      </w:r>
      <w:r w:rsidR="00C05814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C9208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 حکم امامت اینها هم مشکوک می شود و</w:t>
      </w:r>
      <w:r w:rsidR="00C05814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نتیجه نمی توانیم حکم به امامت اینها </w:t>
      </w:r>
      <w:r w:rsidR="00C92088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کنیم.</w:t>
      </w:r>
    </w:p>
    <w:p w:rsidR="00C92088" w:rsidRPr="002C404C" w:rsidRDefault="00C92088" w:rsidP="00BA116F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مثال صحیح ایشان این است که یک کسی کافر بوده بعد به ظاهر مسلمان شده ولی ما احتمال می دهیم در منزل همان ستارگان و بتها را می پرستد، اگر ما قسم بخوریم که فقط به مسلمان سلام</w:t>
      </w:r>
      <w:r w:rsidR="00BA116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کنیم آیا سلام به این آقا برای ما کفایت می کند؟ </w:t>
      </w:r>
      <w:r w:rsidR="00BA116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خیر کافی نخواهد بود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لذا استدلال ایشان در «ثانیا» بسیار استدلال خوبی است و خود </w:t>
      </w:r>
      <w:r w:rsidR="00C05814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او 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هم </w:t>
      </w:r>
      <w:r w:rsidR="00BA116F"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به آن جواب نداده</w:t>
      </w: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794A34" w:rsidRPr="002C404C" w:rsidRDefault="00794A34" w:rsidP="00794A34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2C404C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مهدی جامعی</w:t>
      </w:r>
    </w:p>
    <w:sectPr w:rsidR="00794A34" w:rsidRPr="002C404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539" w:rsidRDefault="009D6539" w:rsidP="000333CD">
      <w:pPr>
        <w:spacing w:after="0" w:line="240" w:lineRule="auto"/>
      </w:pPr>
      <w:r>
        <w:separator/>
      </w:r>
    </w:p>
  </w:endnote>
  <w:endnote w:type="continuationSeparator" w:id="0">
    <w:p w:rsidR="009D6539" w:rsidRDefault="009D6539" w:rsidP="0003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539" w:rsidRDefault="009D6539" w:rsidP="000333CD">
      <w:pPr>
        <w:spacing w:after="0" w:line="240" w:lineRule="auto"/>
      </w:pPr>
      <w:r>
        <w:separator/>
      </w:r>
    </w:p>
  </w:footnote>
  <w:footnote w:type="continuationSeparator" w:id="0">
    <w:p w:rsidR="009D6539" w:rsidRDefault="009D6539" w:rsidP="000333CD">
      <w:pPr>
        <w:spacing w:after="0" w:line="240" w:lineRule="auto"/>
      </w:pPr>
      <w:r>
        <w:continuationSeparator/>
      </w:r>
    </w:p>
  </w:footnote>
  <w:footnote w:id="1">
    <w:p w:rsidR="009D6C7F" w:rsidRDefault="009D6C7F" w:rsidP="009D6C7F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rPr>
          <w:rFonts w:hint="cs"/>
          <w:rtl/>
          <w:lang w:bidi="fa-IR"/>
        </w:rPr>
        <w:t xml:space="preserve"> سوره بقره، آیه 124.</w:t>
      </w:r>
    </w:p>
  </w:footnote>
  <w:footnote w:id="2">
    <w:p w:rsidR="000333CD" w:rsidRDefault="000333CD" w:rsidP="000333CD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hyperlink r:id="rId1" w:history="1">
        <w:r w:rsidRPr="000333CD">
          <w:rPr>
            <w:rStyle w:val="Hyperlink"/>
            <w:rFonts w:hint="cs"/>
            <w:rtl/>
            <w:lang w:bidi="fa-IR"/>
          </w:rPr>
          <w:t xml:space="preserve">محاضرات </w:t>
        </w:r>
        <w:r w:rsidRPr="000333CD">
          <w:rPr>
            <w:rStyle w:val="Hyperlink"/>
            <w:rFonts w:hint="cs"/>
            <w:rtl/>
            <w:lang w:bidi="fa-IR"/>
          </w:rPr>
          <w:t>فی الاصول، سید ابوالقاسم خوئی، ج1، ص262.</w:t>
        </w:r>
      </w:hyperlink>
    </w:p>
  </w:footnote>
  <w:footnote w:id="3">
    <w:p w:rsidR="000333CD" w:rsidRDefault="000333CD" w:rsidP="000333CD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hyperlink r:id="rId2" w:history="1">
        <w:r w:rsidRPr="000333CD">
          <w:rPr>
            <w:rStyle w:val="Hyperlink"/>
            <w:rFonts w:hint="cs"/>
            <w:rtl/>
            <w:lang w:bidi="fa-IR"/>
          </w:rPr>
          <w:t xml:space="preserve">محاضرات </w:t>
        </w:r>
        <w:r w:rsidRPr="000333CD">
          <w:rPr>
            <w:rStyle w:val="Hyperlink"/>
            <w:rFonts w:hint="cs"/>
            <w:rtl/>
            <w:lang w:bidi="fa-IR"/>
          </w:rPr>
          <w:t>فی الاصول، سید ابوالقاسم خوئی، ج1، ص262.</w:t>
        </w:r>
      </w:hyperlink>
    </w:p>
  </w:footnote>
  <w:footnote w:id="4">
    <w:p w:rsidR="00794A34" w:rsidRDefault="00794A34" w:rsidP="00794A3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سوره </w:t>
      </w:r>
      <w:r>
        <w:rPr>
          <w:rFonts w:hint="cs"/>
          <w:rtl/>
          <w:lang w:bidi="fa-IR"/>
        </w:rPr>
        <w:t>حج، آیه 30.</w:t>
      </w:r>
    </w:p>
  </w:footnote>
  <w:footnote w:id="5">
    <w:p w:rsidR="00794A34" w:rsidRDefault="00794A34" w:rsidP="00794A3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سوره </w:t>
      </w:r>
      <w:r>
        <w:rPr>
          <w:rFonts w:hint="cs"/>
          <w:rtl/>
          <w:lang w:bidi="fa-IR"/>
        </w:rPr>
        <w:t>توبه، آیه 28.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4A3" w:rsidRPr="006B2EBD" w:rsidRDefault="00C734A3" w:rsidP="00C734A3">
    <w:pPr>
      <w:pStyle w:val="Header"/>
      <w:bidi/>
      <w:rPr>
        <w:rFonts w:ascii="Traditional Arabic" w:hAnsi="Traditional Arabic" w:cs="Traditional Arabic"/>
        <w:lang w:bidi="fa-IR"/>
      </w:rPr>
    </w:pPr>
    <w:r w:rsidRPr="001E4B5F">
      <w:rPr>
        <w:rFonts w:ascii="Traditional Arabic" w:hAnsi="Traditional Arabic" w:cs="Traditional Arabic" w:hint="cs"/>
        <w:rtl/>
      </w:rPr>
      <w:t>درس اصول - آیت الله موسوی جزایری –</w:t>
    </w:r>
    <w:r w:rsidRPr="001E4B5F">
      <w:rPr>
        <w:rFonts w:ascii="Traditional Arabic" w:hAnsi="Traditional Arabic" w:cs="Traditional Arabic" w:hint="cs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23</w:t>
    </w:r>
    <w:r w:rsidRPr="001E4B5F">
      <w:rPr>
        <w:rFonts w:ascii="Traditional Arabic" w:hAnsi="Traditional Arabic" w:cs="Traditional Arabic" w:hint="cs"/>
        <w:rtl/>
        <w:lang w:bidi="fa-IR"/>
      </w:rPr>
      <w:t>/</w:t>
    </w:r>
    <w:r>
      <w:rPr>
        <w:rFonts w:ascii="Traditional Arabic" w:hAnsi="Traditional Arabic" w:cs="Traditional Arabic" w:hint="cs"/>
        <w:rtl/>
        <w:lang w:bidi="fa-IR"/>
      </w:rPr>
      <w:t>08</w:t>
    </w:r>
    <w:r w:rsidRPr="001E4B5F">
      <w:rPr>
        <w:rFonts w:ascii="Traditional Arabic" w:hAnsi="Traditional Arabic" w:cs="Traditional Arabic" w:hint="cs"/>
        <w:rtl/>
        <w:lang w:bidi="fa-IR"/>
      </w:rPr>
      <w:t>/1394</w:t>
    </w:r>
  </w:p>
  <w:p w:rsidR="00C734A3" w:rsidRPr="00C734A3" w:rsidRDefault="00C734A3" w:rsidP="00C734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77"/>
    <w:rsid w:val="000333CD"/>
    <w:rsid w:val="00064D15"/>
    <w:rsid w:val="0007278C"/>
    <w:rsid w:val="000D49FA"/>
    <w:rsid w:val="0010310B"/>
    <w:rsid w:val="00152670"/>
    <w:rsid w:val="001C5101"/>
    <w:rsid w:val="0027457A"/>
    <w:rsid w:val="002A117D"/>
    <w:rsid w:val="002B11F3"/>
    <w:rsid w:val="002C404C"/>
    <w:rsid w:val="002D4977"/>
    <w:rsid w:val="00316728"/>
    <w:rsid w:val="00373000"/>
    <w:rsid w:val="00374878"/>
    <w:rsid w:val="00431665"/>
    <w:rsid w:val="00451BE4"/>
    <w:rsid w:val="00572495"/>
    <w:rsid w:val="00577182"/>
    <w:rsid w:val="00586477"/>
    <w:rsid w:val="005D335E"/>
    <w:rsid w:val="006A6899"/>
    <w:rsid w:val="006A7A0D"/>
    <w:rsid w:val="006C30D6"/>
    <w:rsid w:val="006C3A31"/>
    <w:rsid w:val="00794A34"/>
    <w:rsid w:val="007F4B6C"/>
    <w:rsid w:val="00807BE3"/>
    <w:rsid w:val="00964968"/>
    <w:rsid w:val="009864EB"/>
    <w:rsid w:val="009D6539"/>
    <w:rsid w:val="009D6C7F"/>
    <w:rsid w:val="00A42F00"/>
    <w:rsid w:val="00BA116F"/>
    <w:rsid w:val="00BB3EEA"/>
    <w:rsid w:val="00BF0D62"/>
    <w:rsid w:val="00C02BBF"/>
    <w:rsid w:val="00C05814"/>
    <w:rsid w:val="00C458C6"/>
    <w:rsid w:val="00C46264"/>
    <w:rsid w:val="00C64A79"/>
    <w:rsid w:val="00C734A3"/>
    <w:rsid w:val="00C92088"/>
    <w:rsid w:val="00CA4594"/>
    <w:rsid w:val="00CB203B"/>
    <w:rsid w:val="00CC4940"/>
    <w:rsid w:val="00CF24F8"/>
    <w:rsid w:val="00E26563"/>
    <w:rsid w:val="00E4168E"/>
    <w:rsid w:val="00F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3B4B31E"/>
  <w15:docId w15:val="{E1E9C934-677F-41D0-B3DE-1D0A55F1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333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3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33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333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3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4A3"/>
  </w:style>
  <w:style w:type="paragraph" w:styleId="Footer">
    <w:name w:val="footer"/>
    <w:basedOn w:val="Normal"/>
    <w:link w:val="FooterChar"/>
    <w:uiPriority w:val="99"/>
    <w:unhideWhenUsed/>
    <w:rsid w:val="00C734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lib.eshia.ir/13106/1/262/&#1606;&#1589;&#1617;" TargetMode="External"/><Relationship Id="rId1" Type="http://schemas.openxmlformats.org/officeDocument/2006/relationships/hyperlink" Target="http://lib.eshia.ir/13106/1/262/&#1606;&#1587;&#1576;&#1607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0280-D36D-4ED5-9B62-A1193EA0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mohsen baseri</cp:lastModifiedBy>
  <cp:revision>10</cp:revision>
  <dcterms:created xsi:type="dcterms:W3CDTF">2015-11-21T16:15:00Z</dcterms:created>
  <dcterms:modified xsi:type="dcterms:W3CDTF">2015-12-16T14:15:00Z</dcterms:modified>
</cp:coreProperties>
</file>