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A6" w:rsidRPr="009E5DA6" w:rsidRDefault="009E5DA6" w:rsidP="009E5DA6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</w:rPr>
      </w:pPr>
      <w:bookmarkStart w:id="0" w:name="_GoBack"/>
      <w:r w:rsidRPr="009E5DA6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9E5DA6">
        <w:rPr>
          <w:rFonts w:ascii="Traditional Arabic" w:hAnsi="Traditional Arabic" w:cs="Traditional Arabic"/>
          <w:sz w:val="26"/>
          <w:szCs w:val="26"/>
          <w:rtl/>
        </w:rPr>
        <w:t xml:space="preserve"> قاعده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>ی</w:t>
      </w:r>
      <w:r w:rsidRPr="009E5DA6">
        <w:rPr>
          <w:rFonts w:ascii="Traditional Arabic" w:hAnsi="Traditional Arabic" w:cs="Traditional Arabic"/>
          <w:sz w:val="26"/>
          <w:szCs w:val="26"/>
          <w:rtl/>
        </w:rPr>
        <w:t>د/قواعد فقهیه</w:t>
      </w:r>
    </w:p>
    <w:p w:rsidR="00615F97" w:rsidRPr="009E5DA6" w:rsidRDefault="00301369" w:rsidP="00615F9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9E5DA6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از روایات دال بر قاعده ید </w:t>
      </w:r>
      <w:r w:rsidR="00615F97" w:rsidRPr="009E5DA6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به صحیحه عبد الرحمن ابن حجاج رسیدیم.</w:t>
      </w:r>
    </w:p>
    <w:p w:rsidR="00615F97" w:rsidRPr="009E5DA6" w:rsidRDefault="00615F97" w:rsidP="00615F97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E5DA6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>صحیحه عبد الرحمن ابن حجاج</w:t>
      </w:r>
    </w:p>
    <w:p w:rsidR="00615F97" w:rsidRPr="009E5DA6" w:rsidRDefault="00615F97" w:rsidP="00615F97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E5DA6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>سند روایت</w:t>
      </w:r>
    </w:p>
    <w:p w:rsidR="00615F97" w:rsidRPr="009E5DA6" w:rsidRDefault="00615F97" w:rsidP="00301369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محمد ابن یعقوب عن علی ابن ابراهیم عن ابیه 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و محمد بن إسماعيل ابن بزیع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که شخص جلیل القدری است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، عن الفضل بن شاذان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>که مرقد مطهرش در نیشابور است. ایشان از اصحاب امام رضا(ع) است که در علم حکمت و کلام تبهر داشته است.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جميعا ، عن </w:t>
      </w:r>
      <w:r w:rsidRPr="009E5DA6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ابن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Pr="009E5DA6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أبي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عمير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>از اصحاب اجماع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، عن عبد الرحمن بن الحجاج 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روایت زیر نقل شده و با وجود این سند می توان گفت: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روایت صحیحه است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.</w:t>
      </w:r>
    </w:p>
    <w:p w:rsidR="00615F97" w:rsidRPr="009E5DA6" w:rsidRDefault="00615F97" w:rsidP="00615F97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9E5DA6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>متن روایت</w:t>
      </w:r>
    </w:p>
    <w:p w:rsidR="00615F97" w:rsidRPr="009E5DA6" w:rsidRDefault="00615F97" w:rsidP="00301369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عن </w:t>
      </w:r>
      <w:r w:rsidRPr="009E5DA6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أبي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عبدالله ( عليه السلام ) ، قال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 : </w:t>
      </w:r>
      <w:r w:rsidRPr="009E5DA6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سألني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Pr="009E5DA6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هل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Pr="009E5DA6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يقضي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Pr="009E5DA6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ابن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Pr="009E5DA6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أبي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Pr="009E5DA6">
        <w:rPr>
          <w:rStyle w:val="hilight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ليلى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بالقضاء، ثم يرجع عنه؟</w:t>
      </w:r>
      <w:r w:rsidR="00301369" w:rsidRPr="009E5DA6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 xml:space="preserve">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>امام از من سوال کرد که آیا ابن ابی لیلا قضاوتی کرده که از آن عدول کند؟</w:t>
      </w:r>
    </w:p>
    <w:p w:rsidR="00615F97" w:rsidRPr="009E5DA6" w:rsidRDefault="00615F97" w:rsidP="00301369">
      <w:pPr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فقلت له</w:t>
      </w:r>
      <w:r w:rsidR="00301369"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: بلغني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: أنه قضى في متاع الرجل والمرأة إذا مات أحدهما ، فادعاه ورثة الحيّ وورثة الميت، أو طلقها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 </w:t>
      </w:r>
      <w:r w:rsidR="00301369"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فادعاه الرجل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، وادعته المرأة بأربع قضايا،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>در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پاسخ عرض کردم: در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م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>ردی دیدم که چهار مرتبه عدول کرد. مساله در مورد این بود که اگر زن یا مرد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یک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>نفرشان از د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نیا برود و اموالی از خود برجای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گذارد و بین حی و ورثه میت اختلاف پیش 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آید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و 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شخص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>حی بگوید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این اموال مال خودم است و ورثه میت بگویند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این اموال 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متعلق به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میت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هستند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. یا اینکه زن و شوهر از هم طلاق گرفته باشند و بعد از طلاق هرکدام ادعا کند که این اموال متعلق به من است. </w:t>
      </w:r>
    </w:p>
    <w:p w:rsidR="00615F97" w:rsidRPr="009E5DA6" w:rsidRDefault="00615F97" w:rsidP="00301369">
      <w:pPr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فقال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 : 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وما ذاك ؟ قلت : أما أولهن : فقضى فيه بقول إبراهيم النخعي ، كان يجعل متاع المرأة الذي لا يصلح للرجل للمرأة ، ومتاع الرجل الذي لا يكون للمرأة للرجل ، وما كان للرجال والنساء بينهما نصفان ،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>حضرت فرمود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آن قضاوت هارا برای من شرح بده.گفتم که اول به فتوای ابراهیم نخعی قضاوت کرد و گفت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اموالی که مختص به زن است مال زن و 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آنچه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که مختص مرد 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باشد متعلق به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مرد 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خواهد بود،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اموال مشترک 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نیز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متعلق به هردوی آنهاست. </w:t>
      </w:r>
    </w:p>
    <w:p w:rsidR="00615F97" w:rsidRPr="009E5DA6" w:rsidRDefault="00615F97" w:rsidP="00615F97">
      <w:pPr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9E5DA6">
        <w:rPr>
          <w:rFonts w:ascii="Traditional Arabic" w:hAnsi="Traditional Arabic" w:cs="Traditional Arabic" w:hint="cs"/>
          <w:sz w:val="26"/>
          <w:szCs w:val="26"/>
          <w:rtl/>
        </w:rPr>
        <w:t>حضرت امام (ره) در تحریر همین فتوی را داده اند و مثال به چرخ خیاطی زدند که مختص به زن است. کت و شلوار و اسلحه و دوچرخه و امثال اینها مختص به مرد است. ماشین و قاشق و چنگال و امثال اینها که هردو استفاده می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کنند مشترک است.</w:t>
      </w:r>
    </w:p>
    <w:p w:rsidR="00615F97" w:rsidRPr="009E5DA6" w:rsidRDefault="00615F97" w:rsidP="00615F97">
      <w:pPr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9E5DA6">
        <w:rPr>
          <w:rFonts w:ascii="Traditional Arabic" w:hAnsi="Traditional Arabic" w:cs="Traditional Arabic" w:hint="cs"/>
          <w:sz w:val="26"/>
          <w:szCs w:val="26"/>
          <w:rtl/>
        </w:rPr>
        <w:t>دوباره از این قضاوت تا چهار مرتبه عدول کرد و هربار حکم جدیدی داد.</w:t>
      </w:r>
      <w:r w:rsidRPr="009E5DA6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در نهایت خود حضرت فرمود نظر صحیح همان قول به تفصیل بین اموال اختصاصی و اشتراکی است. </w:t>
      </w:r>
    </w:p>
    <w:p w:rsidR="00D10F09" w:rsidRPr="009E5DA6" w:rsidRDefault="00615F97" w:rsidP="00D87973">
      <w:pPr>
        <w:bidi/>
        <w:jc w:val="both"/>
        <w:rPr>
          <w:rFonts w:ascii="Traditional Arabic" w:hAnsi="Traditional Arabic" w:cs="Traditional Arabic"/>
          <w:sz w:val="26"/>
          <w:szCs w:val="26"/>
        </w:rPr>
      </w:pPr>
      <w:r w:rsidRPr="009E5DA6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>شاهد بحث ما در این روایت این بود که حضرت فرمود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اموالی که در دست هرکدام است و مسلط بر آن هستند مال خودشان است. این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کلام بر مبنای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همان قاعده ید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>است.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 xml:space="preserve">این بحث تتمه ای دارد که باشد برای </w:t>
      </w:r>
      <w:r w:rsidR="00301369" w:rsidRPr="009E5DA6">
        <w:rPr>
          <w:rFonts w:ascii="Traditional Arabic" w:hAnsi="Traditional Arabic" w:cs="Traditional Arabic" w:hint="cs"/>
          <w:sz w:val="26"/>
          <w:szCs w:val="26"/>
          <w:rtl/>
        </w:rPr>
        <w:t>آینده</w:t>
      </w:r>
      <w:r w:rsidRPr="009E5DA6">
        <w:rPr>
          <w:rFonts w:ascii="Traditional Arabic" w:hAnsi="Traditional Arabic" w:cs="Traditional Arabic" w:hint="cs"/>
          <w:sz w:val="26"/>
          <w:szCs w:val="26"/>
          <w:rtl/>
        </w:rPr>
        <w:t>.</w:t>
      </w:r>
      <w:bookmarkEnd w:id="0"/>
    </w:p>
    <w:sectPr w:rsidR="00D10F09" w:rsidRPr="009E5DA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5A" w:rsidRDefault="00482A5A" w:rsidP="009E5DA6">
      <w:pPr>
        <w:spacing w:after="0" w:line="240" w:lineRule="auto"/>
      </w:pPr>
      <w:r>
        <w:separator/>
      </w:r>
    </w:p>
  </w:endnote>
  <w:endnote w:type="continuationSeparator" w:id="0">
    <w:p w:rsidR="00482A5A" w:rsidRDefault="00482A5A" w:rsidP="009E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5A" w:rsidRDefault="00482A5A" w:rsidP="009E5DA6">
      <w:pPr>
        <w:spacing w:after="0" w:line="240" w:lineRule="auto"/>
      </w:pPr>
      <w:r>
        <w:separator/>
      </w:r>
    </w:p>
  </w:footnote>
  <w:footnote w:type="continuationSeparator" w:id="0">
    <w:p w:rsidR="00482A5A" w:rsidRDefault="00482A5A" w:rsidP="009E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A6" w:rsidRDefault="009E5DA6" w:rsidP="009E5DA6">
    <w:pPr>
      <w:pStyle w:val="Header"/>
      <w:bidi/>
      <w:rPr>
        <w:rFonts w:ascii="Traditional Arabic" w:hAnsi="Traditional Arabic" w:cs="Traditional Arabic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چهار</w:t>
    </w:r>
    <w:r>
      <w:rPr>
        <w:rFonts w:ascii="Traditional Arabic" w:hAnsi="Traditional Arabic" w:cs="Traditional Arabic"/>
        <w:rtl/>
      </w:rPr>
      <w:t xml:space="preserve"> شنبه </w:t>
    </w:r>
    <w:r>
      <w:rPr>
        <w:rFonts w:ascii="Traditional Arabic" w:hAnsi="Traditional Arabic" w:cs="Traditional Arabic" w:hint="cs"/>
        <w:rtl/>
      </w:rPr>
      <w:t>12</w:t>
    </w:r>
    <w:r>
      <w:rPr>
        <w:rFonts w:ascii="Traditional Arabic" w:hAnsi="Traditional Arabic" w:cs="Traditional Arabic"/>
        <w:rtl/>
      </w:rPr>
      <w:t>/12/1394</w:t>
    </w:r>
  </w:p>
  <w:p w:rsidR="009E5DA6" w:rsidRDefault="009E5D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97"/>
    <w:rsid w:val="00301369"/>
    <w:rsid w:val="00482A5A"/>
    <w:rsid w:val="00615F97"/>
    <w:rsid w:val="009E5DA6"/>
    <w:rsid w:val="00D10F09"/>
    <w:rsid w:val="00D8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C810"/>
  <w15:chartTrackingRefBased/>
  <w15:docId w15:val="{C605C24D-815C-447D-B660-0367D9EB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F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light">
    <w:name w:val="hilight"/>
    <w:basedOn w:val="DefaultParagraphFont"/>
    <w:rsid w:val="00615F97"/>
  </w:style>
  <w:style w:type="paragraph" w:styleId="Header">
    <w:name w:val="header"/>
    <w:basedOn w:val="Normal"/>
    <w:link w:val="HeaderChar"/>
    <w:uiPriority w:val="99"/>
    <w:unhideWhenUsed/>
    <w:rsid w:val="009E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A6"/>
  </w:style>
  <w:style w:type="paragraph" w:styleId="Footer">
    <w:name w:val="footer"/>
    <w:basedOn w:val="Normal"/>
    <w:link w:val="FooterChar"/>
    <w:uiPriority w:val="99"/>
    <w:unhideWhenUsed/>
    <w:rsid w:val="009E5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1806</Characters>
  <Application>Microsoft Office Word</Application>
  <DocSecurity>0</DocSecurity>
  <Lines>15</Lines>
  <Paragraphs>4</Paragraphs>
  <ScaleCrop>false</ScaleCrop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baseri</dc:creator>
  <cp:keywords/>
  <dc:description/>
  <cp:lastModifiedBy>mohsen baseri</cp:lastModifiedBy>
  <cp:revision>4</cp:revision>
  <dcterms:created xsi:type="dcterms:W3CDTF">2016-04-03T16:08:00Z</dcterms:created>
  <dcterms:modified xsi:type="dcterms:W3CDTF">2016-04-11T07:55:00Z</dcterms:modified>
</cp:coreProperties>
</file>