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338" w:rsidRPr="00141338" w:rsidRDefault="0033356E" w:rsidP="00141338">
      <w:pPr>
        <w:bidi/>
        <w:spacing w:before="100" w:beforeAutospacing="1" w:after="100" w:afterAutospacing="1" w:line="36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hint="cs"/>
          <w:b/>
          <w:bCs/>
          <w:sz w:val="36"/>
          <w:szCs w:val="36"/>
          <w:rtl/>
        </w:rPr>
        <w:t>ب</w:t>
      </w:r>
      <w:r w:rsidR="00141338" w:rsidRPr="00141338">
        <w:rPr>
          <w:rFonts w:ascii="Times New Roman" w:eastAsia="Times New Roman" w:hAnsi="Times New Roman" w:cs="Times New Roman"/>
          <w:b/>
          <w:bCs/>
          <w:sz w:val="36"/>
          <w:szCs w:val="36"/>
          <w:rtl/>
        </w:rPr>
        <w:t>هبود روابط بانکی با تصویب لایحه</w:t>
      </w:r>
      <w:r w:rsidR="00141338" w:rsidRPr="00141338">
        <w:rPr>
          <w:rFonts w:ascii="Times New Roman" w:eastAsia="Times New Roman" w:hAnsi="Times New Roman" w:cs="Times New Roman"/>
          <w:b/>
          <w:bCs/>
          <w:sz w:val="36"/>
          <w:szCs w:val="36"/>
        </w:rPr>
        <w:t xml:space="preserve"> CFT </w:t>
      </w:r>
      <w:bookmarkStart w:id="0" w:name="_GoBack"/>
      <w:bookmarkEnd w:id="0"/>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تصویرسازی موافقان تصویب لوایح مرتبط با</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درباره بهبود روابط بانکی و جلوگیری از انزوای مالی ایران با تصویب این لوایح، رویایی است که به دلیل آثار تحریم‌های بانکی آمریکا محقق نخواهد شد</w:t>
      </w:r>
      <w:r w:rsidRPr="00141338">
        <w:rPr>
          <w:rFonts w:ascii="Times New Roman" w:eastAsia="Times New Roman" w:hAnsi="Times New Roman" w:cs="Times New Roman"/>
          <w:b/>
          <w:bCs/>
          <w:sz w:val="24"/>
          <w:szCs w:val="24"/>
        </w:rPr>
        <w:t>.</w:t>
      </w:r>
    </w:p>
    <w:p w:rsidR="00141338" w:rsidRPr="00141338" w:rsidRDefault="00141338" w:rsidP="0033356E">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مجلس شورای اسلامی قرار است مجددا لایحه الحاق ایران به کنوانسیون مقابله با تامین مالی تروریسم</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را با توجه به ایرادات شورای نگهبان و اصلاحات صورت گرفته توسط کمیسیون امنیت ملی و سیاست خارجی مجلس مورد بررسی قرار دهد. در ادامه به بررسی برخی از ادعاهای موافقان تصویب این لایحه که یکی از لوایح چهارگانه مرتبط با گروه ویژه اقدام مالی</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محسوب می شود، می‌پردازیم</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Pr>
        <w:t>*</w:t>
      </w:r>
      <w:r w:rsidRPr="00141338">
        <w:rPr>
          <w:rFonts w:ascii="Times New Roman" w:eastAsia="Times New Roman" w:hAnsi="Times New Roman" w:cs="Times New Roman"/>
          <w:b/>
          <w:bCs/>
          <w:sz w:val="24"/>
          <w:szCs w:val="24"/>
          <w:rtl/>
        </w:rPr>
        <w:t>ادعای موافقان: تصویب لوایح مرتبط با</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منجر به بهبود روابط بانکی می‌شود</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یکی از مهم‌ترین و پرتکرارترین ادعاهای موافقان تصویب لوایح مرتبط با</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از جمله لایحه الحاق ایران به</w:t>
      </w:r>
      <w:r w:rsidRPr="00141338">
        <w:rPr>
          <w:rFonts w:ascii="Times New Roman" w:eastAsia="Times New Roman" w:hAnsi="Times New Roman" w:cs="Times New Roman"/>
          <w:b/>
          <w:bCs/>
          <w:sz w:val="24"/>
          <w:szCs w:val="24"/>
        </w:rPr>
        <w:t xml:space="preserve"> CFT</w:t>
      </w:r>
      <w:r w:rsidRPr="00141338">
        <w:rPr>
          <w:rFonts w:ascii="Times New Roman" w:eastAsia="Times New Roman" w:hAnsi="Times New Roman" w:cs="Times New Roman"/>
          <w:b/>
          <w:bCs/>
          <w:sz w:val="24"/>
          <w:szCs w:val="24"/>
          <w:rtl/>
        </w:rPr>
        <w:t>، بهبود روابط بانکی در صورت تصویب این لوایح است. به عنوان مثال، محمود واعظی رئیس دفتر رئیس جمهور ساعاتی پس از تصویب لایحه الحاق به</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 xml:space="preserve">توسط مجلس در تاریخ </w:t>
      </w:r>
      <w:r w:rsidRPr="00141338">
        <w:rPr>
          <w:rFonts w:ascii="Times New Roman" w:eastAsia="Times New Roman" w:hAnsi="Times New Roman" w:cs="Times New Roman"/>
          <w:b/>
          <w:bCs/>
          <w:sz w:val="24"/>
          <w:szCs w:val="24"/>
          <w:rtl/>
          <w:lang w:bidi="fa-IR"/>
        </w:rPr>
        <w:t>۱۵</w:t>
      </w:r>
      <w:r w:rsidRPr="00141338">
        <w:rPr>
          <w:rFonts w:ascii="Times New Roman" w:eastAsia="Times New Roman" w:hAnsi="Times New Roman" w:cs="Times New Roman"/>
          <w:b/>
          <w:bCs/>
          <w:sz w:val="24"/>
          <w:szCs w:val="24"/>
          <w:rtl/>
        </w:rPr>
        <w:t xml:space="preserve"> مهرماه گفت: «با تصویب این لایحه توسط مجلس شورای اسلامی یکی از اصلی ترین بهانه‌ها برای عدم همکاری مالی با جمهوری اسلامی در سطح جهانی از میان برداشته شد. این امر منجر به بهبود روابط بانکی خواهد شد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همچنین حسین‌علی امیری معاون پارلمانی رئیس‌جمهور در تاریخ 21 شهریورماه درباره این موضوع گفته بود: «برای استانداردسازی و سر و سامان دادن به نظام بانکی،‌ ارتباط گیری بانک‌های جمهوری اسلامی ایران با بانک‌های دیگر دنیا و موسسات مالی دنیا به لوایح مرتبط با</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به‌ویژه لایحه‌</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که به آن اشاره کردم، نیاز است</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 xml:space="preserve">برخی از نمایندگان مجلس هم دیدگاه مشابهی دارند. به عنوان مثال، حشمت الله فلاحت‌پیشه رئیس کمیسیون امنیت ملی و سیاست خارجی مجلس در مصاحبه با خبرگزاری خانه ملت در تاریخ </w:t>
      </w:r>
      <w:r w:rsidRPr="00141338">
        <w:rPr>
          <w:rFonts w:ascii="Times New Roman" w:eastAsia="Times New Roman" w:hAnsi="Times New Roman" w:cs="Times New Roman"/>
          <w:b/>
          <w:bCs/>
          <w:sz w:val="24"/>
          <w:szCs w:val="24"/>
          <w:rtl/>
          <w:lang w:bidi="fa-IR"/>
        </w:rPr>
        <w:t>۱</w:t>
      </w:r>
      <w:r w:rsidRPr="00141338">
        <w:rPr>
          <w:rFonts w:ascii="Times New Roman" w:eastAsia="Times New Roman" w:hAnsi="Times New Roman" w:cs="Times New Roman"/>
          <w:b/>
          <w:bCs/>
          <w:sz w:val="24"/>
          <w:szCs w:val="24"/>
          <w:rtl/>
        </w:rPr>
        <w:t xml:space="preserve"> مهرماه با اشاره به حضور مدیران عامل اغلب بانک ها که بیشترین مناسبات خارجی را دارند، به همراه معاون بانک اقتصادی وزارت خارجه، معاون بانکی وزارت اقتصاد و معاون بین المللی بانک مرکزی در جلسه این کمیسیون گفت: «همه به اتفاق معتقد بودند که ایران باید با کارگروه</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به منظور بهبود روابط بانکی همکاری کند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همچنین محمد فیضی نماینده مردم اردبیل در مجلس در جریان بررسی لایحه الحاق ایران به کنوانسیون</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 xml:space="preserve">در جلسه </w:t>
      </w:r>
      <w:r w:rsidRPr="00141338">
        <w:rPr>
          <w:rFonts w:ascii="Times New Roman" w:eastAsia="Times New Roman" w:hAnsi="Times New Roman" w:cs="Times New Roman"/>
          <w:b/>
          <w:bCs/>
          <w:sz w:val="24"/>
          <w:szCs w:val="24"/>
          <w:rtl/>
          <w:lang w:bidi="fa-IR"/>
        </w:rPr>
        <w:t>۱۵</w:t>
      </w:r>
      <w:r w:rsidRPr="00141338">
        <w:rPr>
          <w:rFonts w:ascii="Times New Roman" w:eastAsia="Times New Roman" w:hAnsi="Times New Roman" w:cs="Times New Roman"/>
          <w:b/>
          <w:bCs/>
          <w:sz w:val="24"/>
          <w:szCs w:val="24"/>
          <w:rtl/>
        </w:rPr>
        <w:t xml:space="preserve"> مهرماه صحن علنی مجلس گفت: «در شرایط سختی قرار داریم و چرا می‌خواهید شرایط کشور را سخت‌تر کنید؟ بانک‌های ایرانی اگر استاندارد</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را رعایت کنند میتوانند با بانک‌های طرف مقابل یعنی بانک‌های خارجی ارتباط گیری کنند</w:t>
      </w:r>
      <w:r w:rsidRPr="00141338">
        <w:rPr>
          <w:rFonts w:ascii="Times New Roman" w:eastAsia="Times New Roman" w:hAnsi="Times New Roman" w:cs="Times New Roman"/>
          <w:b/>
          <w:bCs/>
          <w:sz w:val="24"/>
          <w:szCs w:val="24"/>
        </w:rPr>
        <w:t xml:space="preserve">. </w:t>
      </w:r>
      <w:r w:rsidRPr="00141338">
        <w:rPr>
          <w:rFonts w:ascii="Times New Roman" w:eastAsia="Times New Roman" w:hAnsi="Times New Roman" w:cs="Times New Roman"/>
          <w:b/>
          <w:bCs/>
          <w:sz w:val="24"/>
          <w:szCs w:val="24"/>
          <w:rtl/>
        </w:rPr>
        <w:t>نباید خودمان با دست خودمان کانال‌های مالی کشور را مسدود می‌کنیم. چرا به مردم نمیگوئیم بسته شدن کانال‌های بانکی موجب مختل شدن مناسبات اقتصادی ایران با سایر کشورهای جهان می‌شود؟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lastRenderedPageBreak/>
        <w:t>ادعای دیگر موافقان: تصویب نشدن لوایح مرتبط با</w:t>
      </w:r>
      <w:r w:rsidRPr="00141338">
        <w:rPr>
          <w:rFonts w:ascii="Times New Roman" w:eastAsia="Times New Roman" w:hAnsi="Times New Roman" w:cs="Times New Roman"/>
          <w:b/>
          <w:bCs/>
          <w:sz w:val="24"/>
          <w:szCs w:val="24"/>
        </w:rPr>
        <w:t xml:space="preserve"> FATF</w:t>
      </w:r>
      <w:r w:rsidRPr="00141338">
        <w:rPr>
          <w:rFonts w:ascii="Times New Roman" w:eastAsia="Times New Roman" w:hAnsi="Times New Roman" w:cs="Times New Roman"/>
          <w:b/>
          <w:bCs/>
          <w:sz w:val="24"/>
          <w:szCs w:val="24"/>
          <w:rtl/>
        </w:rPr>
        <w:t>، انزوای مالی را در پی دارد</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یکی دیگر از استدلال‌های موافقان مهم تصویب لوایح مرتبط با</w:t>
      </w:r>
      <w:r w:rsidRPr="00141338">
        <w:rPr>
          <w:rFonts w:ascii="Times New Roman" w:eastAsia="Times New Roman" w:hAnsi="Times New Roman" w:cs="Times New Roman"/>
          <w:b/>
          <w:bCs/>
          <w:sz w:val="24"/>
          <w:szCs w:val="24"/>
        </w:rPr>
        <w:t xml:space="preserve"> FATF</w:t>
      </w:r>
      <w:r w:rsidRPr="00141338">
        <w:rPr>
          <w:rFonts w:ascii="Times New Roman" w:eastAsia="Times New Roman" w:hAnsi="Times New Roman" w:cs="Times New Roman"/>
          <w:b/>
          <w:bCs/>
          <w:sz w:val="24"/>
          <w:szCs w:val="24"/>
          <w:rtl/>
        </w:rPr>
        <w:t xml:space="preserve">، انزوای مالی و بدتر شدن روابط بانکی در صورت عدم تصویب این لوایح است. به عنوان مثال، لعیا جنیدی معاون حقوقی رئیس جمهور درباره این موضوع در مصاحبه با خبرگزاری ایلنا در تاریخ </w:t>
      </w:r>
      <w:r w:rsidRPr="00141338">
        <w:rPr>
          <w:rFonts w:ascii="Times New Roman" w:eastAsia="Times New Roman" w:hAnsi="Times New Roman" w:cs="Times New Roman"/>
          <w:b/>
          <w:bCs/>
          <w:sz w:val="24"/>
          <w:szCs w:val="24"/>
          <w:rtl/>
          <w:lang w:bidi="fa-IR"/>
        </w:rPr>
        <w:t>۲۲</w:t>
      </w:r>
      <w:r w:rsidRPr="00141338">
        <w:rPr>
          <w:rFonts w:ascii="Times New Roman" w:eastAsia="Times New Roman" w:hAnsi="Times New Roman" w:cs="Times New Roman"/>
          <w:b/>
          <w:bCs/>
          <w:sz w:val="24"/>
          <w:szCs w:val="24"/>
          <w:rtl/>
        </w:rPr>
        <w:t xml:space="preserve"> مهرماه گفت: «فراموش نکنیم که تقربیا همه کشورهای دنیا با خاستگاه‌های متفاوت اقتصادی و سیاسی و اجتماعی و فرهنگی عضو این کنواسیون‌ها هستند و فقط تعداد معدودی از کشورها از جمله ایران در آن‌ها حضور ندارند پس الحاق به این معاهدات امر عجیبی نیست بلکه عدم الحاق می‌تواند موجب انزوای اقتصادی و مالی کشور شود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 xml:space="preserve">همچنین محمدرضا جمشیدی دبیرکل کانون بانک های خصوصی و موسسه های اعتباری در مصاحبه با خبرگزاری دولت در تاریخ </w:t>
      </w:r>
      <w:r w:rsidRPr="00141338">
        <w:rPr>
          <w:rFonts w:ascii="Times New Roman" w:eastAsia="Times New Roman" w:hAnsi="Times New Roman" w:cs="Times New Roman"/>
          <w:b/>
          <w:bCs/>
          <w:sz w:val="24"/>
          <w:szCs w:val="24"/>
          <w:rtl/>
          <w:lang w:bidi="fa-IR"/>
        </w:rPr>
        <w:t>۸</w:t>
      </w:r>
      <w:r w:rsidRPr="00141338">
        <w:rPr>
          <w:rFonts w:ascii="Times New Roman" w:eastAsia="Times New Roman" w:hAnsi="Times New Roman" w:cs="Times New Roman"/>
          <w:b/>
          <w:bCs/>
          <w:sz w:val="24"/>
          <w:szCs w:val="24"/>
          <w:rtl/>
        </w:rPr>
        <w:t xml:space="preserve"> مهرماه درباره این موضوع گفت: «تعیین تکلیف همکاری ایران با گروه ویژه اقدام مالی هیچ ربطی به تحریم های آمریکا یا برجام ندارد؛ ایران چه تحریم باشد چه نباشد، لازم است وضعیت خود را در این گروه مشخص کند. اگر شرایط مد نظر</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را نپذیرد ارتباطات بانکی قطع می‌شود و هزینه های زیادی به نظام بانکی و تجارت کشور تحمیل می شود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 xml:space="preserve">به علاوه، در بیانیه اعضای اتاق بازرگانی ایران در </w:t>
      </w:r>
      <w:r w:rsidRPr="00141338">
        <w:rPr>
          <w:rFonts w:ascii="Times New Roman" w:eastAsia="Times New Roman" w:hAnsi="Times New Roman" w:cs="Times New Roman"/>
          <w:b/>
          <w:bCs/>
          <w:sz w:val="24"/>
          <w:szCs w:val="24"/>
          <w:rtl/>
          <w:lang w:bidi="fa-IR"/>
        </w:rPr>
        <w:t>۲۸</w:t>
      </w:r>
      <w:r w:rsidRPr="00141338">
        <w:rPr>
          <w:rFonts w:ascii="Times New Roman" w:eastAsia="Times New Roman" w:hAnsi="Times New Roman" w:cs="Times New Roman"/>
          <w:b/>
          <w:bCs/>
          <w:sz w:val="24"/>
          <w:szCs w:val="24"/>
          <w:rtl/>
        </w:rPr>
        <w:t xml:space="preserve"> مردادماه امسال درباره این موضوع آمده بود: «نپیوستن به گروه </w:t>
      </w:r>
      <w:r w:rsidRPr="00141338">
        <w:rPr>
          <w:rFonts w:ascii="Times New Roman" w:eastAsia="Times New Roman" w:hAnsi="Times New Roman" w:cs="Times New Roman"/>
          <w:b/>
          <w:bCs/>
          <w:sz w:val="24"/>
          <w:szCs w:val="24"/>
        </w:rPr>
        <w:t xml:space="preserve">FATF </w:t>
      </w:r>
      <w:r w:rsidRPr="00141338">
        <w:rPr>
          <w:rFonts w:ascii="Times New Roman" w:eastAsia="Times New Roman" w:hAnsi="Times New Roman" w:cs="Times New Roman"/>
          <w:b/>
          <w:bCs/>
          <w:sz w:val="24"/>
          <w:szCs w:val="24"/>
          <w:rtl/>
        </w:rPr>
        <w:t>موجب انزوای کشورها می شود و با توجه به شرایط اقتصادی کشور شوک جدیدی را به کشور وارد می کند که بنیه اقتصادی تحمل آن را نخواهد داشت. پایبندی به اصول گروه کاری اقدام مالی</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و پذیرفته شدن در آن، این تضمین را به سایر کشورها می</w:t>
      </w:r>
      <w:r w:rsidRPr="00141338">
        <w:rPr>
          <w:rFonts w:ascii="Times New Roman" w:eastAsia="Times New Roman" w:hAnsi="Times New Roman" w:cs="Times New Roman"/>
          <w:b/>
          <w:bCs/>
          <w:sz w:val="24"/>
          <w:szCs w:val="24"/>
          <w:rtl/>
        </w:rPr>
        <w:softHyphen/>
        <w:t>دهد که مراودات مالی با ایران، پرخطر نیست. در صورت عدم پایبندی ایران به رعایت توصیه های 40 گانه، ‏انزوای مالی کشور قطعی خواهد بود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سه نکته درباره تصورات غلط درباره آثار تصویب لوایح</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بر روابط بانکی</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 xml:space="preserve">اظهارات موافقان تصویب لوایح مرتبط با </w:t>
      </w:r>
      <w:r w:rsidRPr="00141338">
        <w:rPr>
          <w:rFonts w:ascii="Times New Roman" w:eastAsia="Times New Roman" w:hAnsi="Times New Roman" w:cs="Times New Roman"/>
          <w:b/>
          <w:bCs/>
          <w:sz w:val="24"/>
          <w:szCs w:val="24"/>
        </w:rPr>
        <w:t xml:space="preserve">FATF </w:t>
      </w:r>
      <w:r w:rsidRPr="00141338">
        <w:rPr>
          <w:rFonts w:ascii="Times New Roman" w:eastAsia="Times New Roman" w:hAnsi="Times New Roman" w:cs="Times New Roman"/>
          <w:b/>
          <w:bCs/>
          <w:sz w:val="24"/>
          <w:szCs w:val="24"/>
          <w:rtl/>
        </w:rPr>
        <w:t>و به خصوص</w:t>
      </w:r>
      <w:r w:rsidRPr="00141338">
        <w:rPr>
          <w:rFonts w:ascii="Times New Roman" w:eastAsia="Times New Roman" w:hAnsi="Times New Roman" w:cs="Times New Roman"/>
          <w:b/>
          <w:bCs/>
          <w:sz w:val="24"/>
          <w:szCs w:val="24"/>
        </w:rPr>
        <w:t xml:space="preserve">CFT </w:t>
      </w:r>
      <w:r w:rsidRPr="00141338">
        <w:rPr>
          <w:rFonts w:ascii="Times New Roman" w:eastAsia="Times New Roman" w:hAnsi="Times New Roman" w:cs="Times New Roman"/>
          <w:b/>
          <w:bCs/>
          <w:sz w:val="24"/>
          <w:szCs w:val="24"/>
          <w:rtl/>
        </w:rPr>
        <w:t>درباره تاثیر تصویب یا عدم تصویب این لوایح بر روابط بانکی ایران چندان با واقعیت تطابق ندارد. دلایل این امر عبارتست از</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الف- اظهار نظر موافقان</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 xml:space="preserve">درباره آثار تصویب این لوایح در حالی صورت می‌گیرد که ایران در دوران قبل از اجرای برجام یعنی از سال </w:t>
      </w:r>
      <w:r w:rsidRPr="00141338">
        <w:rPr>
          <w:rFonts w:ascii="Times New Roman" w:eastAsia="Times New Roman" w:hAnsi="Times New Roman" w:cs="Times New Roman"/>
          <w:b/>
          <w:bCs/>
          <w:sz w:val="24"/>
          <w:szCs w:val="24"/>
          <w:rtl/>
          <w:lang w:bidi="fa-IR"/>
        </w:rPr>
        <w:t>۸۶</w:t>
      </w:r>
      <w:r w:rsidRPr="00141338">
        <w:rPr>
          <w:rFonts w:ascii="Times New Roman" w:eastAsia="Times New Roman" w:hAnsi="Times New Roman" w:cs="Times New Roman"/>
          <w:b/>
          <w:bCs/>
          <w:sz w:val="24"/>
          <w:szCs w:val="24"/>
          <w:rtl/>
        </w:rPr>
        <w:t xml:space="preserve"> تا اوایل سال </w:t>
      </w:r>
      <w:r w:rsidRPr="00141338">
        <w:rPr>
          <w:rFonts w:ascii="Times New Roman" w:eastAsia="Times New Roman" w:hAnsi="Times New Roman" w:cs="Times New Roman"/>
          <w:b/>
          <w:bCs/>
          <w:sz w:val="24"/>
          <w:szCs w:val="24"/>
          <w:rtl/>
          <w:lang w:bidi="fa-IR"/>
        </w:rPr>
        <w:t>۹۵</w:t>
      </w:r>
      <w:r w:rsidRPr="00141338">
        <w:rPr>
          <w:rFonts w:ascii="Times New Roman" w:eastAsia="Times New Roman" w:hAnsi="Times New Roman" w:cs="Times New Roman"/>
          <w:b/>
          <w:bCs/>
          <w:sz w:val="24"/>
          <w:szCs w:val="24"/>
          <w:rtl/>
        </w:rPr>
        <w:t>، در لیست سیاه</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بوده است ولی مقامات دولتی به این موضوع اهمیت نمی‌دادند و در نتیجه، هیچ اظهار نظری مبنی بر اینکه وجود ایران در لیست سیاه</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 منجر به انزوای مالی شده است و یا اگر از لیست سیاه این نهاد بین الدولی خارج شویم، روابط بانکی کشور، بهبود می‌یابد، نمی‌کردند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 xml:space="preserve">از طرف دیگر، همین مسئولان تا حدود یک سال پس از اجرای برجام، به صورت قطعی از دستاوردهای این توافق دفاع می‌کردند و تاکید می‌کردند که مشکل اصلی روابط بانکی کشور، تحریم‌ها بوده است و به واسطه برجام، تحریم‌ها از میان </w:t>
      </w:r>
      <w:r w:rsidRPr="00141338">
        <w:rPr>
          <w:rFonts w:ascii="Times New Roman" w:eastAsia="Times New Roman" w:hAnsi="Times New Roman" w:cs="Times New Roman"/>
          <w:b/>
          <w:bCs/>
          <w:sz w:val="24"/>
          <w:szCs w:val="24"/>
          <w:rtl/>
        </w:rPr>
        <w:lastRenderedPageBreak/>
        <w:t>رفته است و روابط بانکی بهبود یافته است. به عنوان مثال، می توان به اظهارات اکبر کمیجانی قائم مقام بانک مرکزی در تاریخ 16 اسفندماه 1395 اشاره کرد که گفته بود: «تعداد روابط کارگزاری تا زمان اجرای برجام (در دوران تحریم) به 50 عدد رسیده بود و این تعداد نیز، بانک‌هایی که در دوران تحریم‌ها با شبکه بانکی ایران همکاری داشتند، عمدتاً بانک‌های کوچک بودند ‌‌که‌‌ همکاری ‌‌با‌ آنها ‌ریسک‌های خاص خود را دارد و علاوه بر این، در نتیجه فشارهای ایالات متحده آمریکا همین رابطه نیز با فراز و نشیب مواجه بود... بر اساس آخرین اطلاعات، در دوران اجرای برجام، تعداد روابط کارگزاری به طور قابل توجهی افزایش یافته و به 686 مورد رسیده که با حدود 236 بانک دنیا این روابط برقرار شده است». اظهارات قائم مقام بانک مرکزی نشان می‌دهد که حتی ارتباط‌گیری با بانک‌های کوچک و متوسط با ایران نیز بی‌تاثیر از فشارهای کشور آمریکا نبوده است</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ب- بعد از خروج آمریکا از برجام نیز، قطع روابط بانکی به خاطر فشار تحریم‌ها بوده است. در همین راستا، اخیرا رویترز به نقل از منابع آگاه خبر داد که بانک کنلن چین که کانال اصلی پرداخت‌های بین ایران و چین می‌باشد، شفاها به مشتریان خود اعلام نموده است که در نظر دارد پرداخت‌های یوآنی خود را از 10 آبان ( 1 نوامبر) به بعد قطع نماید</w:t>
      </w:r>
      <w:r w:rsidRPr="00141338">
        <w:rPr>
          <w:rFonts w:ascii="Times New Roman" w:eastAsia="Times New Roman" w:hAnsi="Times New Roman" w:cs="Times New Roman"/>
          <w:b/>
          <w:bCs/>
          <w:sz w:val="24"/>
          <w:szCs w:val="24"/>
        </w:rPr>
        <w:t xml:space="preserve">. </w:t>
      </w:r>
      <w:r w:rsidRPr="00141338">
        <w:rPr>
          <w:rFonts w:ascii="Times New Roman" w:eastAsia="Times New Roman" w:hAnsi="Times New Roman" w:cs="Times New Roman"/>
          <w:b/>
          <w:bCs/>
          <w:sz w:val="24"/>
          <w:szCs w:val="24"/>
          <w:rtl/>
        </w:rPr>
        <w:t>دلیل قطع پرداخت‌ها و بستن کانال پرداخت تحریم‌های آمریکا ذکر شده است</w:t>
      </w:r>
      <w:r w:rsidRPr="00141338">
        <w:rPr>
          <w:rFonts w:ascii="Times New Roman" w:eastAsia="Times New Roman" w:hAnsi="Times New Roman" w:cs="Times New Roman"/>
          <w:b/>
          <w:bCs/>
          <w:sz w:val="24"/>
          <w:szCs w:val="24"/>
        </w:rPr>
        <w:t xml:space="preserve">. </w:t>
      </w:r>
      <w:r w:rsidRPr="00141338">
        <w:rPr>
          <w:rFonts w:ascii="Times New Roman" w:eastAsia="Times New Roman" w:hAnsi="Times New Roman" w:cs="Times New Roman"/>
          <w:b/>
          <w:bCs/>
          <w:sz w:val="24"/>
          <w:szCs w:val="24"/>
          <w:rtl/>
        </w:rPr>
        <w:t>همچنین بانک سرمایه گذاری اروپا</w:t>
      </w:r>
      <w:r w:rsidRPr="00141338">
        <w:rPr>
          <w:rFonts w:ascii="Times New Roman" w:eastAsia="Times New Roman" w:hAnsi="Times New Roman" w:cs="Times New Roman"/>
          <w:b/>
          <w:bCs/>
          <w:sz w:val="24"/>
          <w:szCs w:val="24"/>
        </w:rPr>
        <w:t>(EIB)</w:t>
      </w:r>
      <w:r w:rsidRPr="00141338">
        <w:rPr>
          <w:rFonts w:ascii="Times New Roman" w:eastAsia="Times New Roman" w:hAnsi="Times New Roman" w:cs="Times New Roman"/>
          <w:b/>
          <w:bCs/>
          <w:sz w:val="24"/>
          <w:szCs w:val="24"/>
          <w:rtl/>
        </w:rPr>
        <w:t>، که به اذعان مقامات اروپایی و در راستای مصوبه 14 تیرماه پارلمان اروپا، قرار بود بعد از خروج آمریکا از برجام، تسهیلات برای شرکت‌های کوچک و متوسط و همچنین برخی پرداخت‌های تجاری ایران را انجام دهد، مسئولان این بانک اعلام کردند که نمیتوان، تحریم های آمریکا علیه ایران را نادیده گرفت</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ج- در طی سال های اخیر و به طور ویژه پس از سال 2010 که تحریم‌های ایران در سطح دنیا عملیاتی شد، اهتمام بانک‌ها به مساله تحریم، خیلی بیشتر از توجه آنها به مساله پولشوئی و تامین مالی تروریسم (موضوعات مرتبط با</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بوده است. علت این امر نیز این بوده است که عدم رعایت مقررات تحریمی، جریمه آنها را در پی داشته است. بنابر آمارهای سوئیفت، بانکها در دو سال 2014 و 2015، در مجموع حدود 30 میلیارد دلار جریمه شده اند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اما این بانک ها برای موضوع مبارزه با پولشوئی و تامین مالی تروریسم، بسیار کمتر از این مقدار جریمه شده‌اند. در واقع، میزان جریمه هایی که بانکها بابت مسائل مرتبط با پولشوئی و تامین مالی تروریسم شده اند، حداکثر به عدد 600 میلیون دلار می‌رسد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با توجه به نکات فوق، به جرات می توان گفت تصویرسازی که توسط موافقان تصویب لوایح مرتبط با</w:t>
      </w:r>
      <w:r w:rsidRPr="00141338">
        <w:rPr>
          <w:rFonts w:ascii="Times New Roman" w:eastAsia="Times New Roman" w:hAnsi="Times New Roman" w:cs="Times New Roman"/>
          <w:b/>
          <w:bCs/>
          <w:sz w:val="24"/>
          <w:szCs w:val="24"/>
        </w:rPr>
        <w:t xml:space="preserve"> FATF </w:t>
      </w:r>
      <w:r w:rsidRPr="00141338">
        <w:rPr>
          <w:rFonts w:ascii="Times New Roman" w:eastAsia="Times New Roman" w:hAnsi="Times New Roman" w:cs="Times New Roman"/>
          <w:b/>
          <w:bCs/>
          <w:sz w:val="24"/>
          <w:szCs w:val="24"/>
          <w:rtl/>
        </w:rPr>
        <w:t>صورت می گیرد که تصویب این لوایح منجر به بهبود روابط بانکی و جلوگیری از انزوای مالی می شود، غیرواقعی است و این نتایج به دلیل آثار تحریم‌های بانکی آمریکا محقق نخواهد شد. در واقع، مولفه اصلی در برقراری روابط بانکی های خارجی با ایران، تحریم‌هاست و تا تدبیری برای رفع این موضوع، اندیشیده نشود، بهبود روابط بانکی میسر نخواهد بود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lastRenderedPageBreak/>
        <w:t>علاوه بر این، ناگفته نماند که تصویب نهایی این لوایح بخصوص لایحه الحاق ایران به</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دارای مخاطرات امنیتی و اقتصادی فراوانی نیز هست که کارشناسان بارها درباره آن هشدار داده اند</w:t>
      </w:r>
      <w:r w:rsidRPr="00141338">
        <w:rPr>
          <w:rFonts w:ascii="Times New Roman" w:eastAsia="Times New Roman" w:hAnsi="Times New Roman" w:cs="Times New Roman"/>
          <w:b/>
          <w:bCs/>
          <w:sz w:val="24"/>
          <w:szCs w:val="24"/>
        </w:rPr>
        <w:t>.</w:t>
      </w:r>
    </w:p>
    <w:p w:rsidR="00141338" w:rsidRPr="00141338" w:rsidRDefault="00141338" w:rsidP="00141338">
      <w:pPr>
        <w:bidi/>
        <w:spacing w:before="100" w:beforeAutospacing="1" w:after="100" w:afterAutospacing="1" w:line="360" w:lineRule="auto"/>
        <w:jc w:val="both"/>
        <w:rPr>
          <w:rFonts w:ascii="Times New Roman" w:eastAsia="Times New Roman" w:hAnsi="Times New Roman" w:cs="Times New Roman"/>
          <w:b/>
          <w:bCs/>
          <w:sz w:val="24"/>
          <w:szCs w:val="24"/>
        </w:rPr>
      </w:pPr>
      <w:r w:rsidRPr="00141338">
        <w:rPr>
          <w:rFonts w:ascii="Times New Roman" w:eastAsia="Times New Roman" w:hAnsi="Times New Roman" w:cs="Times New Roman"/>
          <w:b/>
          <w:bCs/>
          <w:sz w:val="24"/>
          <w:szCs w:val="24"/>
          <w:rtl/>
        </w:rPr>
        <w:t>در نتیجه، انتظار می رود نمایندگان مجلس در بررسی مجدد لایحه الحاق ایران به</w:t>
      </w:r>
      <w:r w:rsidRPr="00141338">
        <w:rPr>
          <w:rFonts w:ascii="Times New Roman" w:eastAsia="Times New Roman" w:hAnsi="Times New Roman" w:cs="Times New Roman"/>
          <w:b/>
          <w:bCs/>
          <w:sz w:val="24"/>
          <w:szCs w:val="24"/>
        </w:rPr>
        <w:t xml:space="preserve"> CFT </w:t>
      </w:r>
      <w:r w:rsidRPr="00141338">
        <w:rPr>
          <w:rFonts w:ascii="Times New Roman" w:eastAsia="Times New Roman" w:hAnsi="Times New Roman" w:cs="Times New Roman"/>
          <w:b/>
          <w:bCs/>
          <w:sz w:val="24"/>
          <w:szCs w:val="24"/>
          <w:rtl/>
        </w:rPr>
        <w:t>را بررسی کنند، متاثر از فضاسازی‌های موافقان برای تصویب این لایحه قرار نگیرند و با در نظر گرفتن تمامی ابعاد این لایحه، تصمیمی مطابق با منافع ملی در این زمینه اتخاذ نمایند</w:t>
      </w:r>
      <w:r w:rsidRPr="00141338">
        <w:rPr>
          <w:rFonts w:ascii="Times New Roman" w:eastAsia="Times New Roman" w:hAnsi="Times New Roman" w:cs="Times New Roman"/>
          <w:b/>
          <w:bCs/>
          <w:sz w:val="24"/>
          <w:szCs w:val="24"/>
        </w:rPr>
        <w:t>.</w:t>
      </w:r>
    </w:p>
    <w:p w:rsidR="00030F5B" w:rsidRPr="00141338" w:rsidRDefault="00030F5B" w:rsidP="00141338">
      <w:pPr>
        <w:tabs>
          <w:tab w:val="right" w:pos="0"/>
        </w:tabs>
        <w:bidi/>
        <w:spacing w:line="360" w:lineRule="auto"/>
        <w:rPr>
          <w:b/>
          <w:bCs/>
        </w:rPr>
      </w:pPr>
    </w:p>
    <w:sectPr w:rsidR="00030F5B" w:rsidRPr="00141338" w:rsidSect="008541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997979"/>
    <w:multiLevelType w:val="multilevel"/>
    <w:tmpl w:val="F83EE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41338"/>
    <w:rsid w:val="00030F5B"/>
    <w:rsid w:val="00141338"/>
    <w:rsid w:val="0033356E"/>
    <w:rsid w:val="0085414B"/>
    <w:rsid w:val="00A7762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1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95532034">
      <w:bodyDiv w:val="1"/>
      <w:marLeft w:val="0"/>
      <w:marRight w:val="0"/>
      <w:marTop w:val="0"/>
      <w:marBottom w:val="0"/>
      <w:divBdr>
        <w:top w:val="none" w:sz="0" w:space="0" w:color="auto"/>
        <w:left w:val="none" w:sz="0" w:space="0" w:color="auto"/>
        <w:bottom w:val="none" w:sz="0" w:space="0" w:color="auto"/>
        <w:right w:val="none" w:sz="0" w:space="0" w:color="auto"/>
      </w:divBdr>
      <w:divsChild>
        <w:div w:id="1687248902">
          <w:marLeft w:val="0"/>
          <w:marRight w:val="0"/>
          <w:marTop w:val="0"/>
          <w:marBottom w:val="0"/>
          <w:divBdr>
            <w:top w:val="none" w:sz="0" w:space="0" w:color="auto"/>
            <w:left w:val="none" w:sz="0" w:space="0" w:color="auto"/>
            <w:bottom w:val="none" w:sz="0" w:space="0" w:color="auto"/>
            <w:right w:val="none" w:sz="0" w:space="0" w:color="auto"/>
          </w:divBdr>
        </w:div>
        <w:div w:id="1086069514">
          <w:marLeft w:val="0"/>
          <w:marRight w:val="0"/>
          <w:marTop w:val="0"/>
          <w:marBottom w:val="0"/>
          <w:divBdr>
            <w:top w:val="none" w:sz="0" w:space="0" w:color="auto"/>
            <w:left w:val="none" w:sz="0" w:space="0" w:color="auto"/>
            <w:bottom w:val="none" w:sz="0" w:space="0" w:color="auto"/>
            <w:right w:val="none" w:sz="0" w:space="0" w:color="auto"/>
          </w:divBdr>
        </w:div>
        <w:div w:id="1018389143">
          <w:marLeft w:val="0"/>
          <w:marRight w:val="0"/>
          <w:marTop w:val="0"/>
          <w:marBottom w:val="0"/>
          <w:divBdr>
            <w:top w:val="none" w:sz="0" w:space="0" w:color="auto"/>
            <w:left w:val="none" w:sz="0" w:space="0" w:color="auto"/>
            <w:bottom w:val="none" w:sz="0" w:space="0" w:color="auto"/>
            <w:right w:val="none" w:sz="0" w:space="0" w:color="auto"/>
          </w:divBdr>
          <w:divsChild>
            <w:div w:id="1754353741">
              <w:marLeft w:val="0"/>
              <w:marRight w:val="0"/>
              <w:marTop w:val="0"/>
              <w:marBottom w:val="0"/>
              <w:divBdr>
                <w:top w:val="none" w:sz="0" w:space="0" w:color="auto"/>
                <w:left w:val="none" w:sz="0" w:space="0" w:color="auto"/>
                <w:bottom w:val="none" w:sz="0" w:space="0" w:color="auto"/>
                <w:right w:val="none" w:sz="0" w:space="0" w:color="auto"/>
              </w:divBdr>
              <w:divsChild>
                <w:div w:id="1652371949">
                  <w:marLeft w:val="0"/>
                  <w:marRight w:val="0"/>
                  <w:marTop w:val="0"/>
                  <w:marBottom w:val="0"/>
                  <w:divBdr>
                    <w:top w:val="none" w:sz="0" w:space="0" w:color="auto"/>
                    <w:left w:val="none" w:sz="0" w:space="0" w:color="auto"/>
                    <w:bottom w:val="none" w:sz="0" w:space="0" w:color="auto"/>
                    <w:right w:val="none" w:sz="0" w:space="0" w:color="auto"/>
                  </w:divBdr>
                  <w:divsChild>
                    <w:div w:id="158167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1159</Words>
  <Characters>6612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HMMTE</dc:creator>
  <cp:lastModifiedBy>group</cp:lastModifiedBy>
  <cp:revision>3</cp:revision>
  <dcterms:created xsi:type="dcterms:W3CDTF">2002-06-06T02:55:00Z</dcterms:created>
  <dcterms:modified xsi:type="dcterms:W3CDTF">2019-01-19T07:18:00Z</dcterms:modified>
</cp:coreProperties>
</file>