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B6ECA" w:rsidRDefault="00BB6ECA" w:rsidP="00BB6ECA">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"1-8" \h \z \u </w:instrText>
      </w:r>
      <w:r>
        <w:fldChar w:fldCharType="separate"/>
      </w:r>
      <w:hyperlink w:anchor="_Toc499171209" w:history="1">
        <w:r w:rsidRPr="004C1494">
          <w:rPr>
            <w:rStyle w:val="Hyperlink"/>
            <w:rFonts w:hint="eastAsia"/>
            <w:noProof/>
            <w:rtl/>
          </w:rPr>
          <w:t>تلقّ</w:t>
        </w:r>
        <w:r w:rsidRPr="004C1494">
          <w:rPr>
            <w:rStyle w:val="Hyperlink"/>
            <w:rFonts w:hint="cs"/>
            <w:noProof/>
            <w:rtl/>
          </w:rPr>
          <w:t>ی</w:t>
        </w:r>
        <w:r w:rsidRPr="004C1494">
          <w:rPr>
            <w:rStyle w:val="Hyperlink"/>
            <w:noProof/>
            <w:rtl/>
          </w:rPr>
          <w:t xml:space="preserve"> </w:t>
        </w:r>
        <w:r w:rsidRPr="004C1494">
          <w:rPr>
            <w:rStyle w:val="Hyperlink"/>
            <w:rFonts w:hint="eastAsia"/>
            <w:noProof/>
            <w:rtl/>
          </w:rPr>
          <w:t>نادرست</w:t>
        </w:r>
        <w:r w:rsidRPr="004C1494">
          <w:rPr>
            <w:rStyle w:val="Hyperlink"/>
            <w:noProof/>
            <w:rtl/>
          </w:rPr>
          <w:t xml:space="preserve"> </w:t>
        </w:r>
        <w:r w:rsidRPr="004C1494">
          <w:rPr>
            <w:rStyle w:val="Hyperlink"/>
            <w:rFonts w:hint="eastAsia"/>
            <w:noProof/>
            <w:rtl/>
          </w:rPr>
          <w:t>مرحوم</w:t>
        </w:r>
        <w:r w:rsidRPr="004C1494">
          <w:rPr>
            <w:rStyle w:val="Hyperlink"/>
            <w:noProof/>
            <w:rtl/>
          </w:rPr>
          <w:t xml:space="preserve"> </w:t>
        </w:r>
        <w:r w:rsidRPr="004C1494">
          <w:rPr>
            <w:rStyle w:val="Hyperlink"/>
            <w:rFonts w:hint="eastAsia"/>
            <w:noProof/>
            <w:rtl/>
          </w:rPr>
          <w:t>صدر</w:t>
        </w:r>
        <w:r w:rsidRPr="004C1494">
          <w:rPr>
            <w:rStyle w:val="Hyperlink"/>
            <w:noProof/>
            <w:rtl/>
          </w:rPr>
          <w:t xml:space="preserve"> </w:t>
        </w:r>
        <w:r w:rsidRPr="004C1494">
          <w:rPr>
            <w:rStyle w:val="Hyperlink"/>
            <w:rFonts w:hint="eastAsia"/>
            <w:noProof/>
            <w:rtl/>
          </w:rPr>
          <w:t>از</w:t>
        </w:r>
        <w:r w:rsidRPr="004C1494">
          <w:rPr>
            <w:rStyle w:val="Hyperlink"/>
            <w:noProof/>
            <w:rtl/>
          </w:rPr>
          <w:t xml:space="preserve"> </w:t>
        </w:r>
        <w:r w:rsidRPr="004C1494">
          <w:rPr>
            <w:rStyle w:val="Hyperlink"/>
            <w:rFonts w:hint="eastAsia"/>
            <w:noProof/>
            <w:rtl/>
          </w:rPr>
          <w:t>کلام</w:t>
        </w:r>
        <w:r w:rsidRPr="004C1494">
          <w:rPr>
            <w:rStyle w:val="Hyperlink"/>
            <w:noProof/>
            <w:rtl/>
          </w:rPr>
          <w:t xml:space="preserve"> </w:t>
        </w:r>
        <w:r w:rsidRPr="004C1494">
          <w:rPr>
            <w:rStyle w:val="Hyperlink"/>
            <w:rFonts w:hint="eastAsia"/>
            <w:noProof/>
            <w:rtl/>
          </w:rPr>
          <w:t>مرحوم</w:t>
        </w:r>
        <w:r w:rsidRPr="004C1494">
          <w:rPr>
            <w:rStyle w:val="Hyperlink"/>
            <w:noProof/>
            <w:rtl/>
          </w:rPr>
          <w:t xml:space="preserve"> </w:t>
        </w:r>
        <w:r w:rsidRPr="004C1494">
          <w:rPr>
            <w:rStyle w:val="Hyperlink"/>
            <w:rFonts w:hint="eastAsia"/>
            <w:noProof/>
            <w:rtl/>
          </w:rPr>
          <w:t>نائ</w:t>
        </w:r>
        <w:r w:rsidRPr="004C1494">
          <w:rPr>
            <w:rStyle w:val="Hyperlink"/>
            <w:rFonts w:hint="cs"/>
            <w:noProof/>
            <w:rtl/>
          </w:rPr>
          <w:t>ی</w:t>
        </w:r>
        <w:r w:rsidRPr="004C1494">
          <w:rPr>
            <w:rStyle w:val="Hyperlink"/>
            <w:rFonts w:hint="eastAsia"/>
            <w:noProof/>
            <w:rtl/>
          </w:rPr>
          <w:t>ن</w:t>
        </w:r>
        <w:r w:rsidRPr="004C149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Toc499171209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B6ECA" w:rsidRDefault="00301ACE" w:rsidP="00BB6ECA">
      <w:pPr>
        <w:pStyle w:val="TOC5"/>
        <w:tabs>
          <w:tab w:val="right" w:leader="dot" w:pos="10194"/>
        </w:tabs>
        <w:rPr>
          <w:rFonts w:asciiTheme="minorHAnsi" w:eastAsiaTheme="minorEastAsia" w:hAnsiTheme="minorHAnsi" w:cstheme="minorBidi"/>
          <w:bCs w:val="0"/>
          <w:noProof/>
          <w:color w:val="auto"/>
          <w:szCs w:val="22"/>
          <w:rtl/>
        </w:rPr>
      </w:pPr>
      <w:hyperlink w:anchor="_Toc499171210" w:history="1">
        <w:r w:rsidR="00BB6ECA" w:rsidRPr="004C1494">
          <w:rPr>
            <w:rStyle w:val="Hyperlink"/>
            <w:rFonts w:hint="eastAsia"/>
            <w:noProof/>
            <w:rtl/>
          </w:rPr>
          <w:t>مورد</w:t>
        </w:r>
        <w:r w:rsidR="00BB6ECA" w:rsidRPr="004C1494">
          <w:rPr>
            <w:rStyle w:val="Hyperlink"/>
            <w:noProof/>
            <w:rtl/>
          </w:rPr>
          <w:t xml:space="preserve"> </w:t>
        </w:r>
        <w:r w:rsidR="00BB6ECA" w:rsidRPr="004C1494">
          <w:rPr>
            <w:rStyle w:val="Hyperlink"/>
            <w:rFonts w:hint="eastAsia"/>
            <w:noProof/>
            <w:rtl/>
          </w:rPr>
          <w:t>سوم</w:t>
        </w:r>
        <w:r w:rsidR="00BB6ECA" w:rsidRPr="004C1494">
          <w:rPr>
            <w:rStyle w:val="Hyperlink"/>
            <w:noProof/>
            <w:rtl/>
          </w:rPr>
          <w:t xml:space="preserve"> </w:t>
        </w:r>
        <w:r w:rsidR="00BB6ECA" w:rsidRPr="004C1494">
          <w:rPr>
            <w:rStyle w:val="Hyperlink"/>
            <w:rFonts w:hint="eastAsia"/>
            <w:noProof/>
            <w:rtl/>
          </w:rPr>
          <w:t>از</w:t>
        </w:r>
        <w:r w:rsidR="00BB6ECA" w:rsidRPr="004C1494">
          <w:rPr>
            <w:rStyle w:val="Hyperlink"/>
            <w:noProof/>
            <w:rtl/>
          </w:rPr>
          <w:t xml:space="preserve"> </w:t>
        </w:r>
        <w:r w:rsidR="00BB6ECA" w:rsidRPr="004C1494">
          <w:rPr>
            <w:rStyle w:val="Hyperlink"/>
            <w:rFonts w:hint="eastAsia"/>
            <w:noProof/>
            <w:rtl/>
          </w:rPr>
          <w:t>فروع</w:t>
        </w:r>
        <w:r w:rsidR="00BB6ECA" w:rsidRPr="004C1494">
          <w:rPr>
            <w:rStyle w:val="Hyperlink"/>
            <w:noProof/>
            <w:rtl/>
          </w:rPr>
          <w:t xml:space="preserve"> </w:t>
        </w:r>
        <w:r w:rsidR="00BB6ECA" w:rsidRPr="004C1494">
          <w:rPr>
            <w:rStyle w:val="Hyperlink"/>
            <w:rFonts w:hint="eastAsia"/>
            <w:noProof/>
            <w:rtl/>
          </w:rPr>
          <w:t>اصل</w:t>
        </w:r>
        <w:r w:rsidR="00BB6ECA" w:rsidRPr="004C1494">
          <w:rPr>
            <w:rStyle w:val="Hyperlink"/>
            <w:noProof/>
            <w:rtl/>
          </w:rPr>
          <w:t xml:space="preserve"> </w:t>
        </w:r>
        <w:r w:rsidR="00BB6ECA" w:rsidRPr="004C1494">
          <w:rPr>
            <w:rStyle w:val="Hyperlink"/>
            <w:rFonts w:hint="eastAsia"/>
            <w:noProof/>
            <w:rtl/>
          </w:rPr>
          <w:t>مثبت</w:t>
        </w:r>
        <w:r w:rsidR="00BB6ECA" w:rsidRPr="004C1494">
          <w:rPr>
            <w:rStyle w:val="Hyperlink"/>
            <w:noProof/>
            <w:rtl/>
          </w:rPr>
          <w:t xml:space="preserve">: </w:t>
        </w:r>
        <w:r w:rsidR="00BB6ECA" w:rsidRPr="004C1494">
          <w:rPr>
            <w:rStyle w:val="Hyperlink"/>
            <w:rFonts w:hint="eastAsia"/>
            <w:noProof/>
            <w:rtl/>
          </w:rPr>
          <w:t>استصحاب</w:t>
        </w:r>
        <w:r w:rsidR="00BB6ECA" w:rsidRPr="004C1494">
          <w:rPr>
            <w:rStyle w:val="Hyperlink"/>
            <w:noProof/>
            <w:rtl/>
          </w:rPr>
          <w:t xml:space="preserve"> </w:t>
        </w:r>
        <w:r w:rsidR="00BB6ECA" w:rsidRPr="004C1494">
          <w:rPr>
            <w:rStyle w:val="Hyperlink"/>
            <w:rFonts w:hint="eastAsia"/>
            <w:noProof/>
            <w:rtl/>
          </w:rPr>
          <w:t>عدم</w:t>
        </w:r>
        <w:r w:rsidR="00BB6ECA" w:rsidRPr="004C1494">
          <w:rPr>
            <w:rStyle w:val="Hyperlink"/>
            <w:noProof/>
            <w:rtl/>
          </w:rPr>
          <w:t xml:space="preserve"> </w:t>
        </w:r>
        <w:r w:rsidR="00BB6ECA" w:rsidRPr="004C1494">
          <w:rPr>
            <w:rStyle w:val="Hyperlink"/>
            <w:rFonts w:hint="eastAsia"/>
            <w:noProof/>
            <w:rtl/>
          </w:rPr>
          <w:t>حاجب</w:t>
        </w:r>
        <w:r w:rsidR="00BB6ECA">
          <w:rPr>
            <w:noProof/>
            <w:webHidden/>
            <w:rtl/>
          </w:rPr>
          <w:tab/>
        </w:r>
        <w:r w:rsidR="00BB6ECA">
          <w:rPr>
            <w:rStyle w:val="Hyperlink"/>
            <w:noProof/>
            <w:rtl/>
          </w:rPr>
          <w:fldChar w:fldCharType="begin"/>
        </w:r>
        <w:r w:rsidR="00BB6ECA">
          <w:rPr>
            <w:noProof/>
            <w:webHidden/>
            <w:rtl/>
          </w:rPr>
          <w:instrText xml:space="preserve"> </w:instrText>
        </w:r>
        <w:r w:rsidR="00BB6ECA">
          <w:rPr>
            <w:noProof/>
            <w:webHidden/>
          </w:rPr>
          <w:instrText>PAGEREF</w:instrText>
        </w:r>
        <w:r w:rsidR="00BB6ECA">
          <w:rPr>
            <w:noProof/>
            <w:webHidden/>
            <w:rtl/>
          </w:rPr>
          <w:instrText xml:space="preserve"> _</w:instrText>
        </w:r>
        <w:r w:rsidR="00BB6ECA">
          <w:rPr>
            <w:noProof/>
            <w:webHidden/>
          </w:rPr>
          <w:instrText>Toc499171210 \h</w:instrText>
        </w:r>
        <w:r w:rsidR="00BB6ECA">
          <w:rPr>
            <w:noProof/>
            <w:webHidden/>
            <w:rtl/>
          </w:rPr>
          <w:instrText xml:space="preserve"> </w:instrText>
        </w:r>
        <w:r w:rsidR="00BB6ECA">
          <w:rPr>
            <w:rStyle w:val="Hyperlink"/>
            <w:noProof/>
            <w:rtl/>
          </w:rPr>
        </w:r>
        <w:r w:rsidR="00BB6ECA">
          <w:rPr>
            <w:rStyle w:val="Hyperlink"/>
            <w:noProof/>
            <w:rtl/>
          </w:rPr>
          <w:fldChar w:fldCharType="separate"/>
        </w:r>
        <w:r w:rsidR="00BB6ECA">
          <w:rPr>
            <w:noProof/>
            <w:webHidden/>
            <w:rtl/>
          </w:rPr>
          <w:t>2</w:t>
        </w:r>
        <w:r w:rsidR="00BB6ECA">
          <w:rPr>
            <w:rStyle w:val="Hyperlink"/>
            <w:noProof/>
            <w:rtl/>
          </w:rPr>
          <w:fldChar w:fldCharType="end"/>
        </w:r>
      </w:hyperlink>
    </w:p>
    <w:p w:rsidR="00BB6ECA" w:rsidRDefault="00301ACE" w:rsidP="00BB6ECA">
      <w:pPr>
        <w:pStyle w:val="TOC5"/>
        <w:tabs>
          <w:tab w:val="right" w:leader="dot" w:pos="10194"/>
        </w:tabs>
        <w:rPr>
          <w:rFonts w:asciiTheme="minorHAnsi" w:eastAsiaTheme="minorEastAsia" w:hAnsiTheme="minorHAnsi" w:cstheme="minorBidi"/>
          <w:bCs w:val="0"/>
          <w:noProof/>
          <w:color w:val="auto"/>
          <w:szCs w:val="22"/>
          <w:rtl/>
        </w:rPr>
      </w:pPr>
      <w:hyperlink w:anchor="_Toc499171211" w:history="1">
        <w:r w:rsidR="00BB6ECA" w:rsidRPr="004C1494">
          <w:rPr>
            <w:rStyle w:val="Hyperlink"/>
            <w:rFonts w:hint="eastAsia"/>
            <w:noProof/>
            <w:rtl/>
          </w:rPr>
          <w:t>مورد</w:t>
        </w:r>
        <w:r w:rsidR="00BB6ECA" w:rsidRPr="004C1494">
          <w:rPr>
            <w:rStyle w:val="Hyperlink"/>
            <w:noProof/>
            <w:rtl/>
          </w:rPr>
          <w:t xml:space="preserve"> </w:t>
        </w:r>
        <w:r w:rsidR="00BB6ECA" w:rsidRPr="004C1494">
          <w:rPr>
            <w:rStyle w:val="Hyperlink"/>
            <w:rFonts w:hint="eastAsia"/>
            <w:noProof/>
            <w:rtl/>
          </w:rPr>
          <w:t>چهارم</w:t>
        </w:r>
        <w:r w:rsidR="00BB6ECA" w:rsidRPr="004C1494">
          <w:rPr>
            <w:rStyle w:val="Hyperlink"/>
            <w:noProof/>
            <w:rtl/>
          </w:rPr>
          <w:t xml:space="preserve"> </w:t>
        </w:r>
        <w:r w:rsidR="00BB6ECA" w:rsidRPr="004C1494">
          <w:rPr>
            <w:rStyle w:val="Hyperlink"/>
            <w:rFonts w:hint="eastAsia"/>
            <w:noProof/>
            <w:rtl/>
          </w:rPr>
          <w:t>از</w:t>
        </w:r>
        <w:r w:rsidR="00BB6ECA" w:rsidRPr="004C1494">
          <w:rPr>
            <w:rStyle w:val="Hyperlink"/>
            <w:noProof/>
            <w:rtl/>
          </w:rPr>
          <w:t xml:space="preserve"> </w:t>
        </w:r>
        <w:r w:rsidR="00BB6ECA" w:rsidRPr="004C1494">
          <w:rPr>
            <w:rStyle w:val="Hyperlink"/>
            <w:rFonts w:hint="eastAsia"/>
            <w:noProof/>
            <w:rtl/>
          </w:rPr>
          <w:t>فروع</w:t>
        </w:r>
        <w:r w:rsidR="00BB6ECA" w:rsidRPr="004C1494">
          <w:rPr>
            <w:rStyle w:val="Hyperlink"/>
            <w:noProof/>
            <w:rtl/>
          </w:rPr>
          <w:t xml:space="preserve"> </w:t>
        </w:r>
        <w:r w:rsidR="00BB6ECA" w:rsidRPr="004C1494">
          <w:rPr>
            <w:rStyle w:val="Hyperlink"/>
            <w:rFonts w:hint="eastAsia"/>
            <w:noProof/>
            <w:rtl/>
          </w:rPr>
          <w:t>اصل</w:t>
        </w:r>
        <w:r w:rsidR="00BB6ECA" w:rsidRPr="004C1494">
          <w:rPr>
            <w:rStyle w:val="Hyperlink"/>
            <w:noProof/>
            <w:rtl/>
          </w:rPr>
          <w:t xml:space="preserve"> </w:t>
        </w:r>
        <w:r w:rsidR="00BB6ECA" w:rsidRPr="004C1494">
          <w:rPr>
            <w:rStyle w:val="Hyperlink"/>
            <w:rFonts w:hint="eastAsia"/>
            <w:noProof/>
            <w:rtl/>
          </w:rPr>
          <w:t>مثبت</w:t>
        </w:r>
        <w:r w:rsidR="00BB6ECA" w:rsidRPr="004C1494">
          <w:rPr>
            <w:rStyle w:val="Hyperlink"/>
            <w:noProof/>
            <w:rtl/>
          </w:rPr>
          <w:t xml:space="preserve">: </w:t>
        </w:r>
        <w:r w:rsidR="00BB6ECA" w:rsidRPr="004C1494">
          <w:rPr>
            <w:rStyle w:val="Hyperlink"/>
            <w:rFonts w:hint="eastAsia"/>
            <w:noProof/>
            <w:rtl/>
          </w:rPr>
          <w:t>استصحاب</w:t>
        </w:r>
        <w:r w:rsidR="00BB6ECA" w:rsidRPr="004C1494">
          <w:rPr>
            <w:rStyle w:val="Hyperlink"/>
            <w:noProof/>
            <w:rtl/>
          </w:rPr>
          <w:t xml:space="preserve"> </w:t>
        </w:r>
        <w:r w:rsidR="00BB6ECA" w:rsidRPr="004C1494">
          <w:rPr>
            <w:rStyle w:val="Hyperlink"/>
            <w:rFonts w:hint="eastAsia"/>
            <w:noProof/>
            <w:rtl/>
          </w:rPr>
          <w:t>ح</w:t>
        </w:r>
        <w:r w:rsidR="00BB6ECA" w:rsidRPr="004C1494">
          <w:rPr>
            <w:rStyle w:val="Hyperlink"/>
            <w:rFonts w:hint="cs"/>
            <w:noProof/>
            <w:rtl/>
          </w:rPr>
          <w:t>ی</w:t>
        </w:r>
        <w:r w:rsidR="00BB6ECA" w:rsidRPr="004C1494">
          <w:rPr>
            <w:rStyle w:val="Hyperlink"/>
            <w:rFonts w:hint="eastAsia"/>
            <w:noProof/>
            <w:rtl/>
          </w:rPr>
          <w:t>ات</w:t>
        </w:r>
        <w:r w:rsidR="00BB6ECA" w:rsidRPr="004C1494">
          <w:rPr>
            <w:rStyle w:val="Hyperlink"/>
            <w:noProof/>
            <w:rtl/>
          </w:rPr>
          <w:t xml:space="preserve"> </w:t>
        </w:r>
        <w:r w:rsidR="00BB6ECA" w:rsidRPr="004C1494">
          <w:rPr>
            <w:rStyle w:val="Hyperlink"/>
            <w:rFonts w:hint="eastAsia"/>
            <w:noProof/>
            <w:rtl/>
          </w:rPr>
          <w:t>برا</w:t>
        </w:r>
        <w:r w:rsidR="00BB6ECA" w:rsidRPr="004C1494">
          <w:rPr>
            <w:rStyle w:val="Hyperlink"/>
            <w:rFonts w:hint="cs"/>
            <w:noProof/>
            <w:rtl/>
          </w:rPr>
          <w:t>ی</w:t>
        </w:r>
        <w:r w:rsidR="00BB6ECA" w:rsidRPr="004C1494">
          <w:rPr>
            <w:rStyle w:val="Hyperlink"/>
            <w:noProof/>
            <w:rtl/>
          </w:rPr>
          <w:t xml:space="preserve"> </w:t>
        </w:r>
        <w:r w:rsidR="00BB6ECA" w:rsidRPr="004C1494">
          <w:rPr>
            <w:rStyle w:val="Hyperlink"/>
            <w:rFonts w:hint="eastAsia"/>
            <w:noProof/>
            <w:rtl/>
          </w:rPr>
          <w:t>اثبات</w:t>
        </w:r>
        <w:r w:rsidR="00BB6ECA" w:rsidRPr="004C1494">
          <w:rPr>
            <w:rStyle w:val="Hyperlink"/>
            <w:noProof/>
            <w:rtl/>
          </w:rPr>
          <w:t xml:space="preserve"> </w:t>
        </w:r>
        <w:r w:rsidR="00BB6ECA" w:rsidRPr="004C1494">
          <w:rPr>
            <w:rStyle w:val="Hyperlink"/>
            <w:rFonts w:hint="eastAsia"/>
            <w:noProof/>
            <w:rtl/>
          </w:rPr>
          <w:t>قتل</w:t>
        </w:r>
        <w:r w:rsidR="00BB6ECA">
          <w:rPr>
            <w:noProof/>
            <w:webHidden/>
            <w:rtl/>
          </w:rPr>
          <w:tab/>
        </w:r>
        <w:r w:rsidR="00BB6ECA">
          <w:rPr>
            <w:rStyle w:val="Hyperlink"/>
            <w:noProof/>
            <w:rtl/>
          </w:rPr>
          <w:fldChar w:fldCharType="begin"/>
        </w:r>
        <w:r w:rsidR="00BB6ECA">
          <w:rPr>
            <w:noProof/>
            <w:webHidden/>
            <w:rtl/>
          </w:rPr>
          <w:instrText xml:space="preserve"> </w:instrText>
        </w:r>
        <w:r w:rsidR="00BB6ECA">
          <w:rPr>
            <w:noProof/>
            <w:webHidden/>
          </w:rPr>
          <w:instrText>PAGEREF</w:instrText>
        </w:r>
        <w:r w:rsidR="00BB6ECA">
          <w:rPr>
            <w:noProof/>
            <w:webHidden/>
            <w:rtl/>
          </w:rPr>
          <w:instrText xml:space="preserve"> _</w:instrText>
        </w:r>
        <w:r w:rsidR="00BB6ECA">
          <w:rPr>
            <w:noProof/>
            <w:webHidden/>
          </w:rPr>
          <w:instrText>Toc499171211 \h</w:instrText>
        </w:r>
        <w:r w:rsidR="00BB6ECA">
          <w:rPr>
            <w:noProof/>
            <w:webHidden/>
            <w:rtl/>
          </w:rPr>
          <w:instrText xml:space="preserve"> </w:instrText>
        </w:r>
        <w:r w:rsidR="00BB6ECA">
          <w:rPr>
            <w:rStyle w:val="Hyperlink"/>
            <w:noProof/>
            <w:rtl/>
          </w:rPr>
        </w:r>
        <w:r w:rsidR="00BB6ECA">
          <w:rPr>
            <w:rStyle w:val="Hyperlink"/>
            <w:noProof/>
            <w:rtl/>
          </w:rPr>
          <w:fldChar w:fldCharType="separate"/>
        </w:r>
        <w:r w:rsidR="00BB6ECA">
          <w:rPr>
            <w:noProof/>
            <w:webHidden/>
            <w:rtl/>
          </w:rPr>
          <w:t>3</w:t>
        </w:r>
        <w:r w:rsidR="00BB6ECA">
          <w:rPr>
            <w:rStyle w:val="Hyperlink"/>
            <w:noProof/>
            <w:rtl/>
          </w:rPr>
          <w:fldChar w:fldCharType="end"/>
        </w:r>
      </w:hyperlink>
    </w:p>
    <w:p w:rsidR="00C91EB6" w:rsidRPr="00C91EB6" w:rsidRDefault="00BB6ECA"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E4107">
        <w:rPr>
          <w:rFonts w:hint="cs"/>
          <w:rtl/>
        </w:rPr>
        <w:t>فروع</w:t>
      </w:r>
      <w:r w:rsidR="000E4107">
        <w:rPr>
          <w:rtl/>
        </w:rPr>
        <w:t xml:space="preserve"> </w:t>
      </w:r>
      <w:r w:rsidR="000E4107">
        <w:rPr>
          <w:rFonts w:hint="cs"/>
          <w:rtl/>
        </w:rPr>
        <w:t>اصل</w:t>
      </w:r>
      <w:r w:rsidR="000E4107">
        <w:rPr>
          <w:rtl/>
        </w:rPr>
        <w:t xml:space="preserve"> </w:t>
      </w:r>
      <w:r w:rsidR="000E4107">
        <w:rPr>
          <w:rFonts w:hint="cs"/>
          <w:rtl/>
        </w:rPr>
        <w:t>مثبت</w:t>
      </w:r>
      <w:r w:rsidR="00025B70">
        <w:rPr>
          <w:rFonts w:hint="cs"/>
          <w:rtl/>
        </w:rPr>
        <w:t xml:space="preserve"> </w:t>
      </w:r>
      <w:r w:rsidR="00386C11" w:rsidRPr="00A6366F">
        <w:rPr>
          <w:rFonts w:hint="cs"/>
          <w:rtl/>
        </w:rPr>
        <w:t>/</w:t>
      </w:r>
      <w:bookmarkStart w:id="1" w:name="BokSabj_d"/>
      <w:bookmarkEnd w:id="1"/>
      <w:r w:rsidR="000E4107">
        <w:rPr>
          <w:rFonts w:hint="cs"/>
          <w:rtl/>
        </w:rPr>
        <w:t>تنبیه</w:t>
      </w:r>
      <w:r w:rsidR="000E4107">
        <w:rPr>
          <w:rtl/>
        </w:rPr>
        <w:t xml:space="preserve"> </w:t>
      </w:r>
      <w:r w:rsidR="000E4107">
        <w:rPr>
          <w:rFonts w:hint="cs"/>
          <w:rtl/>
        </w:rPr>
        <w:t>هفتم</w:t>
      </w:r>
      <w:r w:rsidR="00386C11" w:rsidRPr="00A6366F">
        <w:rPr>
          <w:rFonts w:hint="cs"/>
          <w:rtl/>
        </w:rPr>
        <w:t xml:space="preserve"> /</w:t>
      </w:r>
      <w:bookmarkStart w:id="2" w:name="Bokkolli"/>
      <w:bookmarkEnd w:id="2"/>
      <w:r w:rsidR="000E4107">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BB6ECA" w:rsidRPr="00374D38" w:rsidRDefault="00BB6ECA" w:rsidP="00BB6ECA">
      <w:pPr>
        <w:rPr>
          <w:rtl/>
        </w:rPr>
      </w:pPr>
      <w:r>
        <w:rPr>
          <w:rFonts w:hint="cs"/>
          <w:rtl/>
        </w:rPr>
        <w:t>بحث در بیان فروع و ثمرات اصل مثبت بود.</w:t>
      </w:r>
    </w:p>
    <w:p w:rsidR="00247D2F" w:rsidRPr="003A6148" w:rsidRDefault="00247D2F" w:rsidP="003A6148">
      <w:pPr>
        <w:pBdr>
          <w:bottom w:val="double" w:sz="6" w:space="1" w:color="auto"/>
        </w:pBdr>
      </w:pPr>
    </w:p>
    <w:p w:rsidR="008F5B4D" w:rsidRDefault="008F5B4D" w:rsidP="003A6148"/>
    <w:p w:rsidR="00BB6ECA" w:rsidRDefault="00BB6ECA" w:rsidP="00BB6ECA">
      <w:pPr>
        <w:pStyle w:val="Heading6"/>
        <w:rPr>
          <w:rtl/>
        </w:rPr>
      </w:pPr>
      <w:bookmarkStart w:id="3" w:name="_Toc499171209"/>
      <w:r>
        <w:rPr>
          <w:rFonts w:hint="cs"/>
          <w:rtl/>
        </w:rPr>
        <w:t>تلقّی نادرست مرحوم صدر از کلام مرحوم نائینی</w:t>
      </w:r>
      <w:bookmarkEnd w:id="3"/>
    </w:p>
    <w:p w:rsidR="00BB6ECA" w:rsidRDefault="00BB6ECA" w:rsidP="00BB6ECA">
      <w:pPr>
        <w:rPr>
          <w:rtl/>
        </w:rPr>
      </w:pPr>
      <w:r>
        <w:rPr>
          <w:rFonts w:hint="cs"/>
          <w:rtl/>
        </w:rPr>
        <w:t>مرحوم نائینی در مورد استصحاب بقاء شهر برای اثبات اول و یا عید بودن روز بعد فرمودند: اگر عنوانِ (اول) مرکب باشد، جریان استصحاب بقاء ماه رمضان، از باب اثبات جزء موضوع مرکب است و ربطی به بحث لوازم خفیه ندارد. اگر هم این عنوان، بسیط باشد، جریان استصحاب بقاء رمضان، برای اثبات این عنوان، دچار مشکل اصل مثبت خواهد بود. ایشان به لحاظ اثبات، عنوانِ (اول) را بسیط دانستند و بعد فرمودند: می توان از ادله استفاده کرد که موضوع احکام عید، عنوانی مرکب است و لذا با وجودِ بسیط بودن عنوانِ (اول)، باز هم جریان استصحاب بقاء رمضان در یوم الشک برای اثبات احکام عید، دارای مشکل اصل مثبت نمی باشد.</w:t>
      </w:r>
    </w:p>
    <w:p w:rsidR="00BB6ECA" w:rsidRDefault="00BB6ECA" w:rsidP="00BB6ECA">
      <w:pPr>
        <w:rPr>
          <w:rtl/>
        </w:rPr>
      </w:pPr>
      <w:r>
        <w:rPr>
          <w:rFonts w:hint="cs"/>
          <w:rtl/>
        </w:rPr>
        <w:t>مرحوم صدر در جریان این استصحاب، بیان سومی دارند که گویا این بیان، تلقی ایشان از کلام مرحوم نائینی است که البته به آن اشکال کرده اند و سپس یک بیانی به عنوانِ مختارِ خودشان ذکر کرده اند که همان بیانی است که ما از کلام مرحوم نائینی تقریب کردیم.</w:t>
      </w:r>
    </w:p>
    <w:p w:rsidR="00BB6ECA" w:rsidRDefault="00BB6ECA" w:rsidP="00BB6ECA">
      <w:pPr>
        <w:rPr>
          <w:rtl/>
        </w:rPr>
      </w:pPr>
      <w:r>
        <w:rPr>
          <w:rFonts w:hint="cs"/>
          <w:rtl/>
        </w:rPr>
        <w:t>بیانی که مرحوم صدر در ابتدا ذکر می کنند این است که و لو این که شارع، عنوان اول را موضوع احکام قرار داده است و این عنوان بسیط است (یعنی خصوصیات، در آن به عنوان قید هستند)، لکن به نظر عرف، قیدیت خصوصیات، ملغا بوده و موضوع احکام عید، واقع اموری است که محقق اولیت هستند. به عبارت دیگر، اگر چه این خصوصیات (خصوصیتِ تقیّدِ به قید اجتماع)، مقوّم و سبب و تولید کننده عنوان اولیت هستند، لکن عرف آن ها را الغاء کرده و همان اجزاء را موضوع می داند.</w:t>
      </w:r>
    </w:p>
    <w:p w:rsidR="00BB6ECA" w:rsidRDefault="00BB6ECA" w:rsidP="00BB6ECA">
      <w:pPr>
        <w:rPr>
          <w:rtl/>
        </w:rPr>
      </w:pPr>
      <w:r>
        <w:rPr>
          <w:rFonts w:hint="cs"/>
          <w:rtl/>
        </w:rPr>
        <w:lastRenderedPageBreak/>
        <w:t>ایشان در ادامه به این بیان اشکال می کنند که الغاء خصوصیت عرف به شکل کلی و در همه موارد نیست، بلکه عرف فقط در مواردی که عنوان موضوع حکم شرعی، مقید باشد این الغاء را انجام می دهد. برای مثال اگر چه در خطاب شرعی، (صلّ متطهّرا) آمده است، ولی عرف قیدیت طهارت را الغاء کرده و موضوع را مرکّب (صلات + طهارت) می فهمد.</w:t>
      </w:r>
    </w:p>
    <w:p w:rsidR="00BB6ECA" w:rsidRDefault="00BB6ECA" w:rsidP="00BB6ECA">
      <w:pPr>
        <w:rPr>
          <w:rtl/>
        </w:rPr>
      </w:pPr>
      <w:r>
        <w:rPr>
          <w:rFonts w:hint="cs"/>
          <w:rtl/>
        </w:rPr>
        <w:t>از طرف دیگر، در مواردی که عنوان موضوع حکم شرعی، بسیط و وحدانی باشد (مثل یوم العید، اول الشهر، تاسع الشهر)، این الغاء خصوصیت از طرف عرف، وجود ندارد.</w:t>
      </w:r>
    </w:p>
    <w:p w:rsidR="00BB6ECA" w:rsidRDefault="00BB6ECA" w:rsidP="00BB6ECA">
      <w:pPr>
        <w:rPr>
          <w:rtl/>
        </w:rPr>
      </w:pPr>
      <w:r>
        <w:rPr>
          <w:rFonts w:hint="cs"/>
          <w:rtl/>
        </w:rPr>
        <w:t>پس عرف بین دالِّ واحد و متعدّد فرق می گذارد و فقط در دومی، الغاء خصوصیت قیدیت را انجام می دهد.</w:t>
      </w:r>
    </w:p>
    <w:p w:rsidR="00BB6ECA" w:rsidRDefault="00BB6ECA" w:rsidP="00BB6ECA">
      <w:pPr>
        <w:rPr>
          <w:rtl/>
        </w:rPr>
      </w:pPr>
      <w:r>
        <w:rPr>
          <w:rFonts w:hint="cs"/>
          <w:rtl/>
        </w:rPr>
        <w:t>ایشان در ادامه بیانی برای تصحیح استصحاب، بیان می کنند که همان تقریب ما از کلام مرحوم نائینی است. ایشان فرموده اند: اگر چه عنوان اول، بسیط است، ولی موضوع احکام عید، عنوان اول نیست، بلکه یک عنوان دیگر است که مرکب می باشد. در خطاب شرعی این طور نیامده است که :  اذا کان اول الشهر فکذا، بلکه این طور آمده است که وقتی هلال رؤیت شد یا سی روز از اول ماه گذشت، احکام عید را مترتب کن. استصحاب بقاء رمضان، گذشت سی روز را اثبات می کند.</w:t>
      </w:r>
      <w:r>
        <w:rPr>
          <w:rStyle w:val="FootnoteReference"/>
          <w:rtl/>
        </w:rPr>
        <w:footnoteReference w:id="1"/>
      </w:r>
    </w:p>
    <w:p w:rsidR="00BB6ECA" w:rsidRDefault="00BB6ECA" w:rsidP="00BB6ECA">
      <w:pPr>
        <w:rPr>
          <w:rtl/>
        </w:rPr>
      </w:pPr>
      <w:r>
        <w:rPr>
          <w:rFonts w:hint="cs"/>
          <w:rtl/>
        </w:rPr>
        <w:t>نکته: در بیان اول، ادعا می شد که عنوان اول که موضوع حکم قرار گرفته است، به خاطر الغای خصوصیت عرف، مرکب است (دیروز شوال نبوده باشد + امروز شوال باشد)، ولی در بیان دوم ادعا می شود که اصلا عنوانِ اول، موضوع حکم نیست.</w:t>
      </w:r>
    </w:p>
    <w:p w:rsidR="00BB6ECA" w:rsidRDefault="00BB6ECA" w:rsidP="00BB6ECA">
      <w:pPr>
        <w:pStyle w:val="Heading5"/>
        <w:rPr>
          <w:rtl/>
        </w:rPr>
      </w:pPr>
      <w:bookmarkStart w:id="4" w:name="_Toc499171210"/>
      <w:r>
        <w:rPr>
          <w:rFonts w:hint="cs"/>
          <w:rtl/>
        </w:rPr>
        <w:t>مورد سوم از فروع اصل مثبت: استصحاب عدم حاجب</w:t>
      </w:r>
      <w:bookmarkEnd w:id="4"/>
    </w:p>
    <w:p w:rsidR="00BB6ECA" w:rsidRDefault="00BB6ECA" w:rsidP="00BB6ECA">
      <w:pPr>
        <w:rPr>
          <w:rtl/>
        </w:rPr>
      </w:pPr>
      <w:r>
        <w:rPr>
          <w:rFonts w:hint="cs"/>
          <w:rtl/>
        </w:rPr>
        <w:t xml:space="preserve">فرع دیگری که در کلام مرحوم خویی آمده استصحاب عدم حاجب می باشد. در جایی که شستن لباس یا شیء دیگر محقق شده است، ولی به خاطر شک در وجود مانع، شک در رسیدن آب به همه جای آن شیء وجود داشته باشد، استصحاب عدم المانع برای اثبات عنوان غسل، از موارد لوازم خفیه محسوب شده است و پذیرش این استصحاب، به معنای پذیرش اصل مثبت، ولو در موارد لوازم خفیه می باشد. </w:t>
      </w:r>
    </w:p>
    <w:p w:rsidR="00BB6ECA" w:rsidRDefault="00BB6ECA" w:rsidP="00BB6ECA">
      <w:pPr>
        <w:rPr>
          <w:rtl/>
        </w:rPr>
      </w:pPr>
      <w:r>
        <w:rPr>
          <w:rFonts w:hint="cs"/>
          <w:rtl/>
        </w:rPr>
        <w:t>استصحاب عدم الحاجب، دارای ملازمه عقلیه با تحقق غسل می باشد. البته در صورتی که عنوان غسل را مرکب بدانیم (ریختن آب + نبودن مانع) در این صورت جریان این استصحاب، مشکلی ندارد، لکن این مطلب، مجرّد فرض است و حق این است که عنوان غسل، بسیط است و ریختن آب و نبودن مانع، مولِّد آن هستند.</w:t>
      </w:r>
      <w:r>
        <w:rPr>
          <w:rStyle w:val="FootnoteReference"/>
          <w:rtl/>
        </w:rPr>
        <w:footnoteReference w:id="2"/>
      </w:r>
    </w:p>
    <w:p w:rsidR="00BB6ECA" w:rsidRDefault="00BB6ECA" w:rsidP="00BB6ECA">
      <w:pPr>
        <w:rPr>
          <w:rtl/>
        </w:rPr>
      </w:pPr>
      <w:r>
        <w:rPr>
          <w:rFonts w:hint="cs"/>
          <w:rtl/>
        </w:rPr>
        <w:lastRenderedPageBreak/>
        <w:t xml:space="preserve">نکته: ممکن است کسی، عدم وجوب فحص از مانع در هنگام شستن را از باب سیره بداند که در این صورت، از باب استصحاب نخواهد بود، که البته مرحوم خویی جواب داده اند که وجود این سیره، معلوم نیست و اگر هم محقق باشد، ممکن است که ناشی از فتاوای علماء باشد.  </w:t>
      </w:r>
    </w:p>
    <w:p w:rsidR="00BB6ECA" w:rsidRDefault="00BB6ECA" w:rsidP="00BB6ECA">
      <w:pPr>
        <w:pStyle w:val="Heading5"/>
        <w:rPr>
          <w:rtl/>
        </w:rPr>
      </w:pPr>
      <w:bookmarkStart w:id="5" w:name="_Toc499171211"/>
      <w:r>
        <w:rPr>
          <w:rFonts w:hint="cs"/>
          <w:rtl/>
        </w:rPr>
        <w:t>مورد چهارم از فروع اصل مثبت: استصحاب حیات برای اثبات قتل</w:t>
      </w:r>
      <w:bookmarkEnd w:id="5"/>
    </w:p>
    <w:p w:rsidR="00BB6ECA" w:rsidRDefault="00BB6ECA" w:rsidP="00BB6ECA">
      <w:pPr>
        <w:rPr>
          <w:rtl/>
        </w:rPr>
      </w:pPr>
      <w:r>
        <w:rPr>
          <w:rFonts w:hint="cs"/>
          <w:rtl/>
        </w:rPr>
        <w:t xml:space="preserve">این فرع در کلام مرحوم شیخ انصاری آمده است و ایشان خواسته اند بگویند: کسانی که این استصحاب را حجت دانسته اند، از باب حجیت اصل مثبت بوده است، نه این که از موارد استثنای اصل مثبت باشد. </w:t>
      </w:r>
    </w:p>
    <w:p w:rsidR="00BB6ECA" w:rsidRDefault="00BB6ECA" w:rsidP="00BB6ECA">
      <w:pPr>
        <w:rPr>
          <w:rtl/>
        </w:rPr>
      </w:pPr>
      <w:r>
        <w:rPr>
          <w:rFonts w:hint="cs"/>
          <w:rtl/>
        </w:rPr>
        <w:t>مورد بحث این است که شخصی با ضربه شمشیر، شخص دیگری را از وسط نصف می کند و سپس بین وی و ولیّ مجنی علیه، نزاع می شود که آیا مجنی علیه، در زمان ضربه شمشیر زنده بوده است یا خیر؟ جانی ادعای موت قبل از ضربه شمشیر را می کند (به خاطر خوردن سمّ یا هر سبب دیگری) و ولیّ مجنی علیه، ادعای حیات را می کند. در این جا، جریان استصحاب حیات، برای اثبات قتل از باب اصل مثبت خواهد بود.</w:t>
      </w:r>
    </w:p>
    <w:p w:rsidR="00BB6ECA" w:rsidRDefault="00BB6ECA" w:rsidP="00BB6ECA">
      <w:pPr>
        <w:rPr>
          <w:rtl/>
        </w:rPr>
      </w:pPr>
      <w:r>
        <w:rPr>
          <w:rFonts w:hint="cs"/>
          <w:rtl/>
        </w:rPr>
        <w:t>این مورد در کلام مرحوم محقق و علامه ذکر شده است. مرحوم علامه به خاطر استصحاب حیات، قائل تحقق قتل شده اند و مرحوم محقق در شرایع به خاطر اصل عدم ضمان، قائل به عدم تحقق قتل شده اند.</w:t>
      </w:r>
    </w:p>
    <w:p w:rsidR="00BB6ECA" w:rsidRDefault="00BB6ECA" w:rsidP="00BB6ECA">
      <w:pPr>
        <w:rPr>
          <w:rtl/>
        </w:rPr>
      </w:pPr>
      <w:r>
        <w:rPr>
          <w:rFonts w:hint="cs"/>
          <w:rtl/>
        </w:rPr>
        <w:t>مرحوم شیخ طوسی بین این دو نظر تردید کرده اند، از یک طرف اصل عدم ضمان، اقتضای تقدیم قول جانی را دارد و از طرف دیگر اصل بقای حیات، اقتضای تقدیم قول ولیّ مجنی علیه را دارد.</w:t>
      </w:r>
      <w:r>
        <w:rPr>
          <w:rStyle w:val="FootnoteReference"/>
          <w:rtl/>
        </w:rPr>
        <w:footnoteReference w:id="3"/>
      </w:r>
    </w:p>
    <w:p w:rsidR="00BB6ECA" w:rsidRDefault="00BB6ECA" w:rsidP="00BB6ECA">
      <w:pPr>
        <w:rPr>
          <w:rtl/>
        </w:rPr>
      </w:pPr>
      <w:r>
        <w:rPr>
          <w:rFonts w:hint="cs"/>
          <w:rtl/>
        </w:rPr>
        <w:t>مرحوم خویی فرموده اند: اگر موضوع قصاص را مرکب بدانیم (حیات + تحقق جنایت) در این صورت، جریان استصحاب، اثبات یک جزء را می کند و جزء دیگر هم بالوجدان ثابت بوده و لذا احکامی مثل دیه و قصاص، اثبات می شود.</w:t>
      </w:r>
    </w:p>
    <w:p w:rsidR="00BB6ECA" w:rsidRDefault="00BB6ECA" w:rsidP="00BB6ECA">
      <w:pPr>
        <w:rPr>
          <w:rtl/>
        </w:rPr>
      </w:pPr>
      <w:r>
        <w:rPr>
          <w:rFonts w:hint="cs"/>
          <w:rtl/>
        </w:rPr>
        <w:t>اگر هم موضوع قصاص و دیه، عنوان بسیطِ (قتل) باشد، در این صورت استصحاب بقاء حیات برای اثبات این عنوان، دارای مشکل اصل مثبت است. حیات و ضربه شمشیر، سبب و تولید کننده قتل هستند.</w:t>
      </w:r>
    </w:p>
    <w:p w:rsidR="001A1EA5" w:rsidRPr="006162A2" w:rsidRDefault="00BB6ECA" w:rsidP="00F36C2C">
      <w:pPr>
        <w:rPr>
          <w:rtl/>
        </w:rPr>
      </w:pPr>
      <w:r>
        <w:rPr>
          <w:rFonts w:hint="cs"/>
          <w:rtl/>
        </w:rPr>
        <w:t>از آن جا که موضوع احکامی چون قصاص و دیه، عنوانِ بسیطِ قتل می باشد (من قتل مظلوما فقد جعلنا لولیه سلطانا، ما کان لمومن ان یقتل مومنا الا خطئا، القاتل یقتص منه)، استصحاب حیات، دچار مشکل اصل مثبت است و لذا اصل عدم ضمان صحیح است، لذا حق با محقق حلی است.</w:t>
      </w:r>
      <w:r>
        <w:rPr>
          <w:rStyle w:val="FootnoteReference"/>
          <w:rtl/>
        </w:rPr>
        <w:footnoteReference w:id="4"/>
      </w:r>
      <w:bookmarkStart w:id="6" w:name="_GoBack"/>
      <w:bookmarkEnd w:id="6"/>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ACE" w:rsidRDefault="00301ACE" w:rsidP="008B750B">
      <w:pPr>
        <w:spacing w:line="240" w:lineRule="auto"/>
      </w:pPr>
      <w:r>
        <w:separator/>
      </w:r>
    </w:p>
  </w:endnote>
  <w:endnote w:type="continuationSeparator" w:id="0">
    <w:p w:rsidR="00301ACE" w:rsidRDefault="00301AC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36C2C" w:rsidRPr="00F36C2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E4107" w:rsidP="001B6799">
          <w:pPr>
            <w:pStyle w:val="Footer"/>
            <w:bidi w:val="0"/>
            <w:rPr>
              <w:color w:val="808080" w:themeColor="background1" w:themeShade="80"/>
              <w:rtl/>
            </w:rPr>
          </w:pPr>
          <w:bookmarkStart w:id="14" w:name="BokAdres"/>
          <w:bookmarkEnd w:id="14"/>
          <w:r>
            <w:rPr>
              <w:color w:val="808080" w:themeColor="background1" w:themeShade="80"/>
            </w:rPr>
            <w:t>U1mq1_13960918-036_ry1_mfeb.ir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ACE" w:rsidRDefault="00301ACE" w:rsidP="008B750B">
      <w:pPr>
        <w:spacing w:line="240" w:lineRule="auto"/>
      </w:pPr>
      <w:r>
        <w:separator/>
      </w:r>
    </w:p>
  </w:footnote>
  <w:footnote w:type="continuationSeparator" w:id="0">
    <w:p w:rsidR="00301ACE" w:rsidRDefault="00301ACE" w:rsidP="008B750B">
      <w:pPr>
        <w:spacing w:line="240" w:lineRule="auto"/>
      </w:pPr>
      <w:r>
        <w:continuationSeparator/>
      </w:r>
    </w:p>
  </w:footnote>
  <w:footnote w:id="1">
    <w:p w:rsidR="00BB6ECA" w:rsidRPr="00444E7D" w:rsidRDefault="00BB6ECA" w:rsidP="00BB6ECA">
      <w:pPr>
        <w:pStyle w:val="FootnoteText"/>
        <w:rPr>
          <w:rtl/>
        </w:rPr>
      </w:pPr>
      <w:r w:rsidRPr="00444E7D">
        <w:footnoteRef/>
      </w:r>
      <w:r w:rsidRPr="00444E7D">
        <w:rPr>
          <w:rtl/>
        </w:rPr>
        <w:t xml:space="preserve"> </w:t>
      </w:r>
      <w:hyperlink r:id="rId1" w:history="1">
        <w:r w:rsidRPr="00444E7D">
          <w:rPr>
            <w:rStyle w:val="Hyperlink"/>
            <w:rFonts w:hint="cs"/>
            <w:rtl/>
          </w:rPr>
          <w:t>بحوث،</w:t>
        </w:r>
        <w:r w:rsidRPr="00444E7D">
          <w:rPr>
            <w:rStyle w:val="Hyperlink"/>
            <w:rtl/>
          </w:rPr>
          <w:t xml:space="preserve"> </w:t>
        </w:r>
        <w:r w:rsidRPr="00444E7D">
          <w:rPr>
            <w:rStyle w:val="Hyperlink"/>
            <w:rFonts w:hint="cs"/>
            <w:rtl/>
          </w:rPr>
          <w:t>شهید</w:t>
        </w:r>
        <w:r w:rsidRPr="00444E7D">
          <w:rPr>
            <w:rStyle w:val="Hyperlink"/>
            <w:rtl/>
          </w:rPr>
          <w:t xml:space="preserve"> </w:t>
        </w:r>
        <w:r w:rsidRPr="00444E7D">
          <w:rPr>
            <w:rStyle w:val="Hyperlink"/>
            <w:rFonts w:hint="cs"/>
            <w:rtl/>
          </w:rPr>
          <w:t>صدر،</w:t>
        </w:r>
        <w:r w:rsidRPr="00444E7D">
          <w:rPr>
            <w:rStyle w:val="Hyperlink"/>
            <w:rtl/>
          </w:rPr>
          <w:t xml:space="preserve"> </w:t>
        </w:r>
        <w:r w:rsidRPr="00444E7D">
          <w:rPr>
            <w:rStyle w:val="Hyperlink"/>
            <w:rFonts w:hint="cs"/>
            <w:rtl/>
          </w:rPr>
          <w:t>ج</w:t>
        </w:r>
        <w:r w:rsidRPr="00444E7D">
          <w:rPr>
            <w:rStyle w:val="Hyperlink"/>
            <w:rtl/>
          </w:rPr>
          <w:t>6</w:t>
        </w:r>
        <w:r w:rsidRPr="00444E7D">
          <w:rPr>
            <w:rStyle w:val="Hyperlink"/>
            <w:rFonts w:hint="cs"/>
            <w:rtl/>
          </w:rPr>
          <w:t>،</w:t>
        </w:r>
        <w:r w:rsidRPr="00444E7D">
          <w:rPr>
            <w:rStyle w:val="Hyperlink"/>
            <w:rtl/>
          </w:rPr>
          <w:t xml:space="preserve"> </w:t>
        </w:r>
        <w:r w:rsidRPr="00444E7D">
          <w:rPr>
            <w:rStyle w:val="Hyperlink"/>
            <w:rFonts w:hint="cs"/>
            <w:rtl/>
          </w:rPr>
          <w:t>ص</w:t>
        </w:r>
        <w:r w:rsidRPr="00444E7D">
          <w:rPr>
            <w:rStyle w:val="Hyperlink"/>
            <w:rtl/>
          </w:rPr>
          <w:t>198.</w:t>
        </w:r>
      </w:hyperlink>
    </w:p>
  </w:footnote>
  <w:footnote w:id="2">
    <w:p w:rsidR="00BB6ECA" w:rsidRPr="00C83A0F" w:rsidRDefault="00BB6ECA" w:rsidP="00BB6ECA">
      <w:pPr>
        <w:pStyle w:val="FootnoteText"/>
      </w:pPr>
      <w:r w:rsidRPr="00C83A0F">
        <w:footnoteRef/>
      </w:r>
      <w:r w:rsidRPr="00C83A0F">
        <w:rPr>
          <w:rtl/>
        </w:rPr>
        <w:t xml:space="preserve"> </w:t>
      </w:r>
      <w:hyperlink r:id="rId2" w:history="1">
        <w:r w:rsidRPr="00C83A0F">
          <w:rPr>
            <w:rStyle w:val="Hyperlink"/>
            <w:rFonts w:hint="cs"/>
            <w:rtl/>
          </w:rPr>
          <w:t>موسوعة</w:t>
        </w:r>
        <w:r w:rsidRPr="00C83A0F">
          <w:rPr>
            <w:rStyle w:val="Hyperlink"/>
            <w:rtl/>
          </w:rPr>
          <w:t xml:space="preserve"> </w:t>
        </w:r>
        <w:r w:rsidRPr="00C83A0F">
          <w:rPr>
            <w:rStyle w:val="Hyperlink"/>
            <w:rFonts w:hint="cs"/>
            <w:rtl/>
          </w:rPr>
          <w:t>الامام</w:t>
        </w:r>
        <w:r w:rsidRPr="00C83A0F">
          <w:rPr>
            <w:rStyle w:val="Hyperlink"/>
            <w:rtl/>
          </w:rPr>
          <w:t xml:space="preserve"> </w:t>
        </w:r>
        <w:r w:rsidRPr="00C83A0F">
          <w:rPr>
            <w:rStyle w:val="Hyperlink"/>
            <w:rFonts w:hint="cs"/>
            <w:rtl/>
          </w:rPr>
          <w:t>الخویی،</w:t>
        </w:r>
        <w:r w:rsidRPr="00C83A0F">
          <w:rPr>
            <w:rStyle w:val="Hyperlink"/>
            <w:rtl/>
          </w:rPr>
          <w:t xml:space="preserve"> </w:t>
        </w:r>
        <w:r w:rsidRPr="00C83A0F">
          <w:rPr>
            <w:rStyle w:val="Hyperlink"/>
            <w:rFonts w:hint="cs"/>
            <w:rtl/>
          </w:rPr>
          <w:t>ابوالقاسم</w:t>
        </w:r>
        <w:r w:rsidRPr="00C83A0F">
          <w:rPr>
            <w:rStyle w:val="Hyperlink"/>
            <w:rtl/>
          </w:rPr>
          <w:t xml:space="preserve"> </w:t>
        </w:r>
        <w:r w:rsidRPr="00C83A0F">
          <w:rPr>
            <w:rStyle w:val="Hyperlink"/>
            <w:rFonts w:hint="cs"/>
            <w:rtl/>
          </w:rPr>
          <w:t>خویی،</w:t>
        </w:r>
        <w:r w:rsidRPr="00C83A0F">
          <w:rPr>
            <w:rStyle w:val="Hyperlink"/>
            <w:rtl/>
          </w:rPr>
          <w:t xml:space="preserve"> </w:t>
        </w:r>
        <w:r w:rsidRPr="00C83A0F">
          <w:rPr>
            <w:rStyle w:val="Hyperlink"/>
            <w:rFonts w:hint="cs"/>
            <w:rtl/>
          </w:rPr>
          <w:t>ج</w:t>
        </w:r>
        <w:r w:rsidRPr="00C83A0F">
          <w:rPr>
            <w:rStyle w:val="Hyperlink"/>
            <w:rtl/>
          </w:rPr>
          <w:t>48</w:t>
        </w:r>
        <w:r w:rsidRPr="00C83A0F">
          <w:rPr>
            <w:rStyle w:val="Hyperlink"/>
            <w:rFonts w:hint="cs"/>
            <w:rtl/>
          </w:rPr>
          <w:t>،</w:t>
        </w:r>
        <w:r w:rsidRPr="00C83A0F">
          <w:rPr>
            <w:rStyle w:val="Hyperlink"/>
            <w:rtl/>
          </w:rPr>
          <w:t xml:space="preserve"> </w:t>
        </w:r>
        <w:r w:rsidRPr="00C83A0F">
          <w:rPr>
            <w:rStyle w:val="Hyperlink"/>
            <w:rFonts w:hint="cs"/>
            <w:rtl/>
          </w:rPr>
          <w:t>ص</w:t>
        </w:r>
        <w:r w:rsidRPr="00C83A0F">
          <w:rPr>
            <w:rStyle w:val="Hyperlink"/>
            <w:rtl/>
          </w:rPr>
          <w:t>198.</w:t>
        </w:r>
      </w:hyperlink>
    </w:p>
  </w:footnote>
  <w:footnote w:id="3">
    <w:p w:rsidR="00BB6ECA" w:rsidRPr="00C83A0F" w:rsidRDefault="00BB6ECA" w:rsidP="00BB6ECA">
      <w:pPr>
        <w:pStyle w:val="FootnoteText"/>
        <w:rPr>
          <w:rtl/>
        </w:rPr>
      </w:pPr>
      <w:r w:rsidRPr="00C83A0F">
        <w:footnoteRef/>
      </w:r>
      <w:r w:rsidRPr="00C83A0F">
        <w:rPr>
          <w:rtl/>
        </w:rPr>
        <w:t xml:space="preserve"> </w:t>
      </w:r>
      <w:hyperlink r:id="rId3" w:history="1">
        <w:r w:rsidRPr="00C83A0F">
          <w:rPr>
            <w:rStyle w:val="Hyperlink"/>
            <w:rFonts w:hint="cs"/>
            <w:rtl/>
          </w:rPr>
          <w:t>فرائد</w:t>
        </w:r>
        <w:r w:rsidRPr="00C83A0F">
          <w:rPr>
            <w:rStyle w:val="Hyperlink"/>
            <w:rtl/>
          </w:rPr>
          <w:t xml:space="preserve"> </w:t>
        </w:r>
        <w:r w:rsidRPr="00C83A0F">
          <w:rPr>
            <w:rStyle w:val="Hyperlink"/>
            <w:rFonts w:hint="cs"/>
            <w:rtl/>
          </w:rPr>
          <w:t>الاصول،</w:t>
        </w:r>
        <w:r w:rsidRPr="00C83A0F">
          <w:rPr>
            <w:rStyle w:val="Hyperlink"/>
            <w:rtl/>
          </w:rPr>
          <w:t xml:space="preserve"> </w:t>
        </w:r>
        <w:r w:rsidRPr="00C83A0F">
          <w:rPr>
            <w:rStyle w:val="Hyperlink"/>
            <w:rFonts w:hint="cs"/>
            <w:rtl/>
          </w:rPr>
          <w:t>شیخ</w:t>
        </w:r>
        <w:r w:rsidRPr="00C83A0F">
          <w:rPr>
            <w:rStyle w:val="Hyperlink"/>
            <w:rtl/>
          </w:rPr>
          <w:t xml:space="preserve"> </w:t>
        </w:r>
        <w:r w:rsidRPr="00C83A0F">
          <w:rPr>
            <w:rStyle w:val="Hyperlink"/>
            <w:rFonts w:hint="cs"/>
            <w:rtl/>
          </w:rPr>
          <w:t>مرتضی</w:t>
        </w:r>
        <w:r w:rsidRPr="00C83A0F">
          <w:rPr>
            <w:rStyle w:val="Hyperlink"/>
            <w:rtl/>
          </w:rPr>
          <w:t xml:space="preserve"> </w:t>
        </w:r>
        <w:r w:rsidRPr="00C83A0F">
          <w:rPr>
            <w:rStyle w:val="Hyperlink"/>
            <w:rFonts w:hint="cs"/>
            <w:rtl/>
          </w:rPr>
          <w:t>انصاری،</w:t>
        </w:r>
        <w:r w:rsidRPr="00C83A0F">
          <w:rPr>
            <w:rStyle w:val="Hyperlink"/>
            <w:rtl/>
          </w:rPr>
          <w:t xml:space="preserve"> </w:t>
        </w:r>
        <w:r w:rsidRPr="00C83A0F">
          <w:rPr>
            <w:rStyle w:val="Hyperlink"/>
            <w:rFonts w:hint="cs"/>
            <w:rtl/>
          </w:rPr>
          <w:t>ج</w:t>
        </w:r>
        <w:r w:rsidRPr="00C83A0F">
          <w:rPr>
            <w:rStyle w:val="Hyperlink"/>
            <w:rtl/>
          </w:rPr>
          <w:t>3</w:t>
        </w:r>
        <w:r w:rsidRPr="00C83A0F">
          <w:rPr>
            <w:rStyle w:val="Hyperlink"/>
            <w:rFonts w:hint="cs"/>
            <w:rtl/>
          </w:rPr>
          <w:t>،</w:t>
        </w:r>
        <w:r w:rsidRPr="00C83A0F">
          <w:rPr>
            <w:rStyle w:val="Hyperlink"/>
            <w:rtl/>
          </w:rPr>
          <w:t xml:space="preserve"> </w:t>
        </w:r>
        <w:r w:rsidRPr="00C83A0F">
          <w:rPr>
            <w:rStyle w:val="Hyperlink"/>
            <w:rFonts w:hint="cs"/>
            <w:rtl/>
          </w:rPr>
          <w:t>ص</w:t>
        </w:r>
        <w:r w:rsidRPr="00C83A0F">
          <w:rPr>
            <w:rStyle w:val="Hyperlink"/>
            <w:rtl/>
          </w:rPr>
          <w:t>240.</w:t>
        </w:r>
      </w:hyperlink>
    </w:p>
  </w:footnote>
  <w:footnote w:id="4">
    <w:p w:rsidR="00BB6ECA" w:rsidRPr="00C83A0F" w:rsidRDefault="00BB6ECA" w:rsidP="00BB6ECA">
      <w:pPr>
        <w:pStyle w:val="FootnoteText"/>
        <w:rPr>
          <w:rtl/>
        </w:rPr>
      </w:pPr>
      <w:r w:rsidRPr="00C83A0F">
        <w:footnoteRef/>
      </w:r>
      <w:r w:rsidRPr="00C83A0F">
        <w:rPr>
          <w:rtl/>
        </w:rPr>
        <w:t xml:space="preserve"> </w:t>
      </w:r>
      <w:hyperlink r:id="rId4" w:history="1">
        <w:r w:rsidRPr="00C83A0F">
          <w:rPr>
            <w:rStyle w:val="Hyperlink"/>
            <w:rFonts w:hint="cs"/>
            <w:rtl/>
          </w:rPr>
          <w:t>موسوعة</w:t>
        </w:r>
        <w:r w:rsidRPr="00C83A0F">
          <w:rPr>
            <w:rStyle w:val="Hyperlink"/>
            <w:rtl/>
          </w:rPr>
          <w:t xml:space="preserve"> </w:t>
        </w:r>
        <w:r w:rsidRPr="00C83A0F">
          <w:rPr>
            <w:rStyle w:val="Hyperlink"/>
            <w:rFonts w:hint="cs"/>
            <w:rtl/>
          </w:rPr>
          <w:t>الامام</w:t>
        </w:r>
        <w:r w:rsidRPr="00C83A0F">
          <w:rPr>
            <w:rStyle w:val="Hyperlink"/>
            <w:rtl/>
          </w:rPr>
          <w:t xml:space="preserve"> </w:t>
        </w:r>
        <w:r w:rsidRPr="00C83A0F">
          <w:rPr>
            <w:rStyle w:val="Hyperlink"/>
            <w:rFonts w:hint="cs"/>
            <w:rtl/>
          </w:rPr>
          <w:t>الخویی،</w:t>
        </w:r>
        <w:r w:rsidRPr="00C83A0F">
          <w:rPr>
            <w:rStyle w:val="Hyperlink"/>
            <w:rtl/>
          </w:rPr>
          <w:t xml:space="preserve"> </w:t>
        </w:r>
        <w:r w:rsidRPr="00C83A0F">
          <w:rPr>
            <w:rStyle w:val="Hyperlink"/>
            <w:rFonts w:hint="cs"/>
            <w:rtl/>
          </w:rPr>
          <w:t>ابوالقاسم</w:t>
        </w:r>
        <w:r w:rsidRPr="00C83A0F">
          <w:rPr>
            <w:rStyle w:val="Hyperlink"/>
            <w:rtl/>
          </w:rPr>
          <w:t xml:space="preserve"> </w:t>
        </w:r>
        <w:r w:rsidRPr="00C83A0F">
          <w:rPr>
            <w:rStyle w:val="Hyperlink"/>
            <w:rFonts w:hint="cs"/>
            <w:rtl/>
          </w:rPr>
          <w:t>خویی،</w:t>
        </w:r>
        <w:r w:rsidRPr="00C83A0F">
          <w:rPr>
            <w:rStyle w:val="Hyperlink"/>
            <w:rtl/>
          </w:rPr>
          <w:t xml:space="preserve"> </w:t>
        </w:r>
        <w:r w:rsidRPr="00C83A0F">
          <w:rPr>
            <w:rStyle w:val="Hyperlink"/>
            <w:rFonts w:hint="cs"/>
            <w:rtl/>
          </w:rPr>
          <w:t>ج</w:t>
        </w:r>
        <w:r w:rsidRPr="00C83A0F">
          <w:rPr>
            <w:rStyle w:val="Hyperlink"/>
            <w:rtl/>
          </w:rPr>
          <w:t>48</w:t>
        </w:r>
        <w:r w:rsidRPr="00C83A0F">
          <w:rPr>
            <w:rStyle w:val="Hyperlink"/>
            <w:rFonts w:hint="cs"/>
            <w:rtl/>
          </w:rPr>
          <w:t>،</w:t>
        </w:r>
        <w:r w:rsidRPr="00C83A0F">
          <w:rPr>
            <w:rStyle w:val="Hyperlink"/>
            <w:rtl/>
          </w:rPr>
          <w:t xml:space="preserve"> </w:t>
        </w:r>
        <w:r w:rsidRPr="00C83A0F">
          <w:rPr>
            <w:rStyle w:val="Hyperlink"/>
            <w:rFonts w:hint="cs"/>
            <w:rtl/>
          </w:rPr>
          <w:t>ص</w:t>
        </w:r>
        <w:r w:rsidRPr="00C83A0F">
          <w:rPr>
            <w:rStyle w:val="Hyperlink"/>
            <w:rtl/>
          </w:rPr>
          <w:t>199.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0E4107">
      <w:rPr>
        <w:b/>
        <w:bCs/>
        <w:sz w:val="20"/>
        <w:szCs w:val="24"/>
        <w:rtl/>
      </w:rPr>
      <w:t>036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0E410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0E4107">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0E4107">
      <w:rPr>
        <w:sz w:val="24"/>
        <w:szCs w:val="24"/>
        <w:rtl/>
      </w:rPr>
      <w:t>18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0E4107">
      <w:rPr>
        <w:rFonts w:hint="cs"/>
        <w:sz w:val="24"/>
        <w:szCs w:val="24"/>
        <w:rtl/>
      </w:rPr>
      <w:t>تنبیه</w:t>
    </w:r>
    <w:r w:rsidR="000E4107">
      <w:rPr>
        <w:sz w:val="24"/>
        <w:szCs w:val="24"/>
        <w:rtl/>
      </w:rPr>
      <w:t xml:space="preserve"> </w:t>
    </w:r>
    <w:r w:rsidR="000E4107">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0E4107">
      <w:rPr>
        <w:rFonts w:hint="cs"/>
        <w:sz w:val="24"/>
        <w:szCs w:val="24"/>
        <w:rtl/>
      </w:rPr>
      <w:t>رضا</w:t>
    </w:r>
    <w:r w:rsidR="000E4107">
      <w:rPr>
        <w:sz w:val="24"/>
        <w:szCs w:val="24"/>
        <w:rtl/>
      </w:rPr>
      <w:t xml:space="preserve"> </w:t>
    </w:r>
    <w:r w:rsidR="000E4107">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0E4107">
      <w:rPr>
        <w:rFonts w:hint="cs"/>
        <w:sz w:val="24"/>
        <w:szCs w:val="24"/>
        <w:rtl/>
      </w:rPr>
      <w:t>فروع</w:t>
    </w:r>
    <w:r w:rsidR="000E4107">
      <w:rPr>
        <w:sz w:val="24"/>
        <w:szCs w:val="24"/>
        <w:rtl/>
      </w:rPr>
      <w:t xml:space="preserve"> </w:t>
    </w:r>
    <w:r w:rsidR="000E4107">
      <w:rPr>
        <w:rFonts w:hint="cs"/>
        <w:sz w:val="24"/>
        <w:szCs w:val="24"/>
        <w:rtl/>
      </w:rPr>
      <w:t>اصل</w:t>
    </w:r>
    <w:r w:rsidR="000E4107">
      <w:rPr>
        <w:sz w:val="24"/>
        <w:szCs w:val="24"/>
        <w:rtl/>
      </w:rPr>
      <w:t xml:space="preserve"> </w:t>
    </w:r>
    <w:r w:rsidR="000E4107">
      <w:rPr>
        <w:rFonts w:hint="cs"/>
        <w:sz w:val="24"/>
        <w:szCs w:val="24"/>
        <w:rtl/>
      </w:rPr>
      <w:t>مثبت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E4107"/>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1ACE"/>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B6ECA"/>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64204"/>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36C2C"/>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B6E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6/3/240/&#1575;&#1604;&#1580;&#1575;&#1606;&#1740;" TargetMode="External"/><Relationship Id="rId2" Type="http://schemas.openxmlformats.org/officeDocument/2006/relationships/hyperlink" Target="http://lib.eshia.ir/71334/48/198/&#1575;&#1604;&#1579;&#1575;&#1604;&#1579;" TargetMode="External"/><Relationship Id="rId1" Type="http://schemas.openxmlformats.org/officeDocument/2006/relationships/hyperlink" Target="http://lib.eshia.ir/13064/6/198/&#1575;&#1604;&#1579;&#1575;&#1606;&#1740;" TargetMode="External"/><Relationship Id="rId4" Type="http://schemas.openxmlformats.org/officeDocument/2006/relationships/hyperlink" Target="http://lib.eshia.ir/71334/48/199/&#1575;&#1604;&#1585;&#1575;&#1576;&#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D1B0B-981B-49E7-B1C2-00D2983DA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813</Words>
  <Characters>4638</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5441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2017-11-23T00:00:00Z</dcterms:created>
  <dcterms:modified xsi:type="dcterms:W3CDTF">2017-11-23T00:26:00Z</dcterms:modified>
  <cp:contentStatus>ویرایش 2.3</cp:contentStatus>
  <cp:version>2.3</cp:version>
</cp:coreProperties>
</file>