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2BF" w:rsidRPr="005112BF" w:rsidRDefault="005112BF" w:rsidP="005112BF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5112BF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5112BF">
        <w:rPr>
          <w:rFonts w:ascii="Traditional Arabic" w:hAnsi="Traditional Arabic" w:cs="Traditional Arabic"/>
          <w:sz w:val="26"/>
          <w:szCs w:val="26"/>
          <w:rtl/>
        </w:rPr>
        <w:t xml:space="preserve"> قاعده اتلاف/ قواعد فقهیه</w:t>
      </w:r>
    </w:p>
    <w:p w:rsidR="00590ABE" w:rsidRPr="005112BF" w:rsidRDefault="00B515B7" w:rsidP="00B515B7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پیشتر بیان شد:</w:t>
      </w:r>
      <w:r w:rsidR="00590ABE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قاعده اتلاف (من اتلف مال الغیر فهو له ضامن) معقد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اجماع فقها است، لکن</w:t>
      </w:r>
      <w:r w:rsidR="00590ABE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در هیچ روایتی وارد نشده است. بعد روایات و آیاتی خواندیم که مضمون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این قاعده از آن ها قابل برداشت بود</w:t>
      </w:r>
      <w:r w:rsidR="00590ABE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مثل</w:t>
      </w:r>
      <w:r w:rsidR="00590ABE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: </w:t>
      </w:r>
      <w:r w:rsidR="00590ABE" w:rsidRPr="005112BF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 xml:space="preserve">مَنِ اعْتَدَى عَلَيْكُمْ فَاعْتَدُواْ عَلَيْهِ بِمِثْلِ مَا اعْتَدَى عَلَيْكُمْ </w:t>
      </w:r>
      <w:r w:rsidR="00590ABE" w:rsidRPr="005112BF">
        <w:rPr>
          <w:rFonts w:ascii="Traditional Arabic" w:hAnsi="Traditional Arabic" w:cs="Traditional Arabic"/>
          <w:b/>
          <w:bCs/>
          <w:color w:val="008000"/>
          <w:rtl/>
        </w:rPr>
        <w:t>(سوره</w:t>
      </w:r>
      <w:r w:rsidR="00590ABE" w:rsidRPr="005112BF">
        <w:rPr>
          <w:rFonts w:ascii="Traditional Arabic" w:hAnsi="Traditional Arabic" w:cs="Traditional Arabic"/>
          <w:b/>
          <w:bCs/>
          <w:color w:val="008000"/>
        </w:rPr>
        <w:t xml:space="preserve"> : </w:t>
      </w:r>
      <w:r w:rsidR="00590ABE" w:rsidRPr="005112BF">
        <w:rPr>
          <w:rFonts w:ascii="Traditional Arabic" w:hAnsi="Traditional Arabic" w:cs="Traditional Arabic"/>
          <w:b/>
          <w:bCs/>
          <w:color w:val="008000"/>
          <w:rtl/>
        </w:rPr>
        <w:t>البقرة –آیه 194</w:t>
      </w:r>
      <w:r w:rsidR="00590ABE" w:rsidRPr="005112BF">
        <w:rPr>
          <w:rFonts w:ascii="Traditional Arabic" w:hAnsi="Traditional Arabic" w:cs="Traditional Arabic"/>
          <w:b/>
          <w:bCs/>
          <w:color w:val="008000"/>
        </w:rPr>
        <w:t xml:space="preserve"> </w:t>
      </w:r>
      <w:r w:rsidR="00590ABE" w:rsidRPr="005112BF">
        <w:rPr>
          <w:rFonts w:ascii="Traditional Arabic" w:hAnsi="Traditional Arabic" w:cs="Traditional Arabic"/>
          <w:b/>
          <w:bCs/>
          <w:color w:val="008000"/>
          <w:rtl/>
        </w:rPr>
        <w:t>)</w:t>
      </w:r>
      <w:r w:rsidR="00590ABE" w:rsidRPr="005112BF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 xml:space="preserve"> </w:t>
      </w:r>
      <w:r w:rsidR="00590ABE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و نیز آیه شریفه: </w:t>
      </w:r>
      <w:r w:rsidR="00590ABE" w:rsidRPr="005112BF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جَزاءُ سَیئَةٍ سَیئَةٌ مِثْلُهَا</w:t>
      </w:r>
      <w:r w:rsidR="00590ABE" w:rsidRPr="005112BF">
        <w:rPr>
          <w:rFonts w:ascii="Traditional Arabic" w:hAnsi="Traditional Arabic" w:cs="Traditional Arabic"/>
          <w:b/>
          <w:bCs/>
          <w:color w:val="008000"/>
          <w:rtl/>
        </w:rPr>
        <w:t>(سوره</w:t>
      </w:r>
      <w:r w:rsidR="00590ABE" w:rsidRPr="005112BF">
        <w:rPr>
          <w:rFonts w:ascii="Traditional Arabic" w:hAnsi="Traditional Arabic" w:cs="Traditional Arabic"/>
          <w:b/>
          <w:bCs/>
          <w:color w:val="008000"/>
        </w:rPr>
        <w:t xml:space="preserve"> : </w:t>
      </w:r>
      <w:r w:rsidR="00590ABE" w:rsidRPr="005112BF">
        <w:rPr>
          <w:rFonts w:ascii="Traditional Arabic" w:hAnsi="Traditional Arabic" w:cs="Traditional Arabic"/>
          <w:b/>
          <w:bCs/>
          <w:color w:val="008000"/>
          <w:rtl/>
        </w:rPr>
        <w:t>الشوری –آیه 40</w:t>
      </w:r>
      <w:r w:rsidR="00590ABE" w:rsidRPr="005112BF">
        <w:rPr>
          <w:rFonts w:ascii="Traditional Arabic" w:hAnsi="Traditional Arabic" w:cs="Traditional Arabic"/>
          <w:b/>
          <w:bCs/>
          <w:color w:val="008000"/>
        </w:rPr>
        <w:t xml:space="preserve"> </w:t>
      </w:r>
      <w:r w:rsidR="00590ABE" w:rsidRPr="005112BF">
        <w:rPr>
          <w:rFonts w:ascii="Traditional Arabic" w:hAnsi="Traditional Arabic" w:cs="Traditional Arabic"/>
          <w:b/>
          <w:bCs/>
          <w:color w:val="008000"/>
          <w:rtl/>
        </w:rPr>
        <w:t>)</w:t>
      </w:r>
      <w:r w:rsidR="00590ABE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همچنین</w:t>
      </w:r>
      <w:r w:rsidR="00590ABE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گفتیم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="00590ABE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این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آ</w:t>
      </w:r>
      <w:r w:rsidR="00590ABE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یات ظهور در عمد دارند و شامل اتلاف خطئی نمی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590ABE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شوند لکن با اجماع می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590ABE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توان اتلاف غیر عمد را هم داخل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کرد، چرا که</w:t>
      </w:r>
      <w:r w:rsidR="00590ABE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اجماع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بر عدم تفاوت میان</w:t>
      </w:r>
      <w:r w:rsidR="00590ABE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اتلاف عمد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ی</w:t>
      </w:r>
      <w:r w:rsidR="00590ABE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غیر عمد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قائم شده</w:t>
      </w:r>
      <w:r w:rsidR="00590ABE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همچنین</w:t>
      </w:r>
      <w:r w:rsidR="00590ABE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روایت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رسول اکرم(ص) </w:t>
      </w:r>
      <w:r w:rsidR="00590ABE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که فرمودند: </w:t>
      </w:r>
      <w:r w:rsidR="00590ABE" w:rsidRPr="005112BF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 xml:space="preserve">(حرمه مال المسلم کحرمه دمه) </w:t>
      </w:r>
      <w:r w:rsidR="00590ABE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استناد کردیم. یعنی اتلاف مال مسلم هم حرمت تکلیفی دارد و هم حرمت وضعی.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خود حضرت هم </w:t>
      </w:r>
      <w:r w:rsidR="00590ABE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در حجه الوداع بسیار بر این مطلب  تاکید کردند. </w:t>
      </w:r>
    </w:p>
    <w:p w:rsidR="00590ABE" w:rsidRPr="005112BF" w:rsidRDefault="00590ABE" w:rsidP="00590ABE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5112BF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منظور از مال</w:t>
      </w:r>
    </w:p>
    <w:p w:rsidR="00590ABE" w:rsidRPr="005112BF" w:rsidRDefault="00590ABE" w:rsidP="00B515B7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معنای لغوی: </w:t>
      </w:r>
      <w:r w:rsidRPr="005112BF">
        <w:rPr>
          <w:rFonts w:ascii="Traditional Arabic" w:hAnsi="Traditional Arabic" w:cs="Traditional Arabic"/>
          <w:b/>
          <w:bCs/>
          <w:sz w:val="30"/>
          <w:szCs w:val="30"/>
          <w:rtl/>
          <w:lang w:bidi="fa-IR"/>
        </w:rPr>
        <w:t>ما یمیل الیه الناس لکونه محتاحا الیه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. آنچه که مورد احتیاج مردم است و مردم به آن میل پیدا می</w:t>
      </w:r>
      <w:r w:rsidR="00B515B7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کنند. </w:t>
      </w:r>
    </w:p>
    <w:p w:rsidR="00590ABE" w:rsidRPr="005112BF" w:rsidRDefault="00590ABE" w:rsidP="00B515B7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معنای اصطلاحی: آنچه که ارزش مبادله ای و معاوضه ای دارد</w:t>
      </w:r>
      <w:r w:rsidR="00B515B7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لذا برای آن عوض مشخص می</w:t>
      </w:r>
      <w:r w:rsidR="00B515B7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کنند.</w:t>
      </w:r>
    </w:p>
    <w:p w:rsidR="00590ABE" w:rsidRPr="005112BF" w:rsidRDefault="00590ABE" w:rsidP="00B515B7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صدق مال بر اعیان مشخص است. مانند لوازم زندگی و خانه و مرکب. و نیز منافع </w:t>
      </w:r>
      <w:r w:rsidR="00B515B7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از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جمله اموال هستند</w:t>
      </w:r>
      <w:r w:rsidR="00B515B7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مانند سکنی الدار و رکوب الدابه. پس اگر کسی مانع انتفاعِ از خانه کسی </w:t>
      </w:r>
      <w:r w:rsidR="00B515B7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گردد،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اما به خود خانه آسیبی وارد نکند </w:t>
      </w:r>
      <w:r w:rsidR="00B515B7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نیز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مصداق اتلاف است چراکه منافع خانه</w:t>
      </w:r>
      <w:r w:rsidR="00B515B7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هم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مالیت دارند</w:t>
      </w:r>
      <w:r w:rsidR="00B515B7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(در مقابل آن سالیانه چند میلیون تومان پرداخت می</w:t>
      </w:r>
      <w:r w:rsidR="00B515B7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شود) و بواسطه ممانعت این شخص </w:t>
      </w:r>
      <w:r w:rsidR="00B515B7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این اموال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اتلاف</w:t>
      </w:r>
      <w:r w:rsidR="00B515B7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می شوند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</w:p>
    <w:p w:rsidR="00590ABE" w:rsidRPr="005112BF" w:rsidRDefault="00590ABE" w:rsidP="00B515B7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یکی دیگر از مصادیق مال</w:t>
      </w:r>
      <w:r w:rsidR="00B515B7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حقوق </w:t>
      </w:r>
      <w:r w:rsidR="00B515B7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می باشند،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مانند حق السبق</w:t>
      </w:r>
      <w:r w:rsidR="00B515B7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؛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5112BF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>من سبق الی مکان من المسلمین فهو احق به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  <w:r w:rsidR="00B515B7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این عبارت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در بعضی از روایات درباره سوق آمده. در هر صورت </w:t>
      </w:r>
      <w:r w:rsidR="00B515B7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تفاوتی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نمی</w:t>
      </w:r>
      <w:r w:rsidR="00B515B7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کند هر مسلمانی زودتر از دیگران در مکان های عمومی مثل مسجد یا حسینیه یا حتی بازار جایی را به خود اختصاص داد نسبت به آنجا حق پیدا می</w:t>
      </w:r>
      <w:r w:rsidR="00B515B7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کند و کسی حق ندارد جای او را به زور بگیرد. </w:t>
      </w:r>
      <w:r w:rsidR="00B515B7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در این صورت اتلاف این حق نیز با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غصب </w:t>
      </w:r>
      <w:r w:rsidR="00B515B7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آ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ن</w:t>
      </w:r>
      <w:r w:rsidR="00B515B7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مکان است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. لذا اگر کسی در بازار زود تر از دیگران بر</w:t>
      </w:r>
      <w:r w:rsidR="00B515B7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ای خودش جایی را پیدا کرد و بساط خود را در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آنجا پهن کرد</w:t>
      </w:r>
      <w:r w:rsidR="00B515B7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کسی نمی</w:t>
      </w:r>
      <w:r w:rsidR="00B515B7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تواند جای او را بگیرد و نیز او می</w:t>
      </w:r>
      <w:r w:rsidR="00B515B7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تواند مکان خود را در عوض مبلغی با دیگران مصالحه کند. </w:t>
      </w:r>
    </w:p>
    <w:p w:rsidR="00590ABE" w:rsidRPr="005112BF" w:rsidRDefault="00590ABE" w:rsidP="00DD0B46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اینها مصادیق خفیه هستند. در مصادی</w:t>
      </w:r>
      <w:r w:rsidR="00DD0B46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ق جلیه مانند اعیان که بحثی نیست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. هر بحثی هست دراین مصادی</w:t>
      </w:r>
      <w:r w:rsidR="00DD0B46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ق خفیه است.</w:t>
      </w:r>
    </w:p>
    <w:p w:rsidR="00590ABE" w:rsidRPr="005112BF" w:rsidRDefault="00590ABE" w:rsidP="00590ABE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5112BF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معنای ضمان</w:t>
      </w:r>
    </w:p>
    <w:p w:rsidR="00590ABE" w:rsidRPr="005112BF" w:rsidRDefault="00DD0B46" w:rsidP="00DD0B46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سابقا بیان شد: آنچه که در ذمه قرار می گیرد </w:t>
      </w:r>
      <w:r w:rsidR="00590ABE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خود تالف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است</w:t>
      </w:r>
      <w:r w:rsidR="00590ABE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نه مثل ی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ا قیمت آن</w:t>
      </w:r>
      <w:r w:rsidR="00590ABE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. مثل ضمان الید که خواندیم علی الید ما اخذت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590ABE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یعنی خود آن شئ در عهده شخص می آید. در اینجا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نیز </w:t>
      </w:r>
      <w:r w:rsidR="00590ABE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می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590ABE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گوییم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="00590ABE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خود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شیء </w:t>
      </w:r>
      <w:r w:rsidR="00590ABE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در ذمه می آید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590ABE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اما چون قدرت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تحویل خود شیء وجود</w:t>
      </w:r>
      <w:r w:rsidR="00590ABE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ندارد (چون فرض این است که اتلاف شده) لذ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ا شارع به عنوان بدل در مثلیات مثل و در قیمیات قیمت آن</w:t>
      </w:r>
      <w:r w:rsidR="00590ABE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را معین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می نماید.</w:t>
      </w:r>
    </w:p>
    <w:p w:rsidR="00590ABE" w:rsidRPr="005112BF" w:rsidRDefault="00590ABE" w:rsidP="00590ABE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5112BF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معنای اتلاف</w:t>
      </w:r>
    </w:p>
    <w:p w:rsidR="00590ABE" w:rsidRPr="005112BF" w:rsidRDefault="00590ABE" w:rsidP="00A16E97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5112BF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>من اتلف</w:t>
      </w:r>
      <w:r w:rsidR="00DD0B46" w:rsidRPr="005112BF">
        <w:rPr>
          <w:rFonts w:ascii="Traditional Arabic" w:hAnsi="Traditional Arabic" w:cs="Traditional Arabic"/>
          <w:sz w:val="30"/>
          <w:szCs w:val="30"/>
          <w:rtl/>
          <w:lang w:bidi="fa-IR"/>
        </w:rPr>
        <w:t>،</w:t>
      </w:r>
      <w:r w:rsidRPr="005112BF">
        <w:rPr>
          <w:rFonts w:ascii="Traditional Arabic" w:hAnsi="Traditional Arabic" w:cs="Traditional Arabic"/>
          <w:sz w:val="30"/>
          <w:szCs w:val="30"/>
          <w:rtl/>
          <w:lang w:bidi="fa-IR"/>
        </w:rPr>
        <w:t xml:space="preserve">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هم شامل عمد </w:t>
      </w:r>
      <w:r w:rsidR="00DD0B46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است و هم سهو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نیز تلف </w:t>
      </w:r>
      <w:r w:rsidR="00DD0B46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هم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مستند به </w:t>
      </w:r>
      <w:r w:rsidR="00DD0B46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متلف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مباشر </w:t>
      </w:r>
      <w:r w:rsidR="00DD0B46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است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و هم </w:t>
      </w:r>
      <w:r w:rsidR="00DD0B46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متلف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بالتسبیب.</w:t>
      </w:r>
      <w:r w:rsidR="00DD0B46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مباشر </w:t>
      </w:r>
      <w:r w:rsidR="00DD0B46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آن است که خود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اقدام به اتلاف کند و </w:t>
      </w:r>
      <w:r w:rsidR="00DD0B46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متلف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بالتسبیب </w:t>
      </w:r>
      <w:r w:rsidR="00DD0B46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شخصی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است که او علت اتلاف </w:t>
      </w:r>
      <w:r w:rsidR="00DD0B46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باشد.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مثل اینکه در یک روزی که باد های شدید می وزد آتشی روشن </w:t>
      </w:r>
      <w:r w:rsidR="00DD0B46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کند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و باد آن آتش را به سمت خرمن فرد دیگری </w:t>
      </w:r>
      <w:r w:rsidR="00DD0B46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ببرد. با توجه به بیان فوق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در این صورت </w:t>
      </w:r>
      <w:r w:rsidR="00DD0B46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نیز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اتلاف ص</w:t>
      </w:r>
      <w:r w:rsidR="00DD0B46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ا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دق </w:t>
      </w:r>
      <w:r w:rsidR="00DD0B46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بوده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و </w:t>
      </w:r>
      <w:r w:rsidR="00DD0B46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شخص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lastRenderedPageBreak/>
        <w:t>ضامن است. انواع درمان</w:t>
      </w:r>
      <w:r w:rsidR="00DD0B46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های طبیب</w:t>
      </w:r>
      <w:r w:rsidR="00DD0B46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نیز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مصداق تسبیب است</w:t>
      </w:r>
      <w:r w:rsidR="00DD0B46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لذا اگر </w:t>
      </w:r>
      <w:r w:rsidR="00A16E97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روش درمان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منجر به اتلاف </w:t>
      </w:r>
      <w:r w:rsidR="00A16E97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گردد، م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وجب ضمان</w:t>
      </w:r>
      <w:r w:rsidR="00A16E97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خواهد بود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اگر کسی بگوید: بر اساس قاعده </w:t>
      </w:r>
      <w:r w:rsidRPr="005112BF">
        <w:rPr>
          <w:rFonts w:ascii="Traditional Arabic" w:hAnsi="Traditional Arabic" w:cs="Traditional Arabic"/>
          <w:b/>
          <w:bCs/>
          <w:sz w:val="30"/>
          <w:szCs w:val="30"/>
          <w:rtl/>
          <w:lang w:bidi="fa-IR"/>
        </w:rPr>
        <w:t>ولا علی المحسنین من سبیل</w:t>
      </w:r>
      <w:r w:rsidRPr="005112BF">
        <w:rPr>
          <w:rFonts w:ascii="Traditional Arabic" w:hAnsi="Traditional Arabic" w:cs="Traditional Arabic"/>
          <w:sz w:val="30"/>
          <w:szCs w:val="30"/>
          <w:rtl/>
          <w:lang w:bidi="fa-IR"/>
        </w:rPr>
        <w:t xml:space="preserve"> </w:t>
      </w:r>
      <w:r w:rsidR="00A16E97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طبابت مصداق احسان است و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طبیب ضامن نیست</w:t>
      </w:r>
      <w:r w:rsidR="00A16E97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ما جواب می دهیم که در اینجا یک مخصصی داریم و آن روایت است که طبیب را ضامن دانسته است. </w:t>
      </w:r>
    </w:p>
    <w:p w:rsidR="00590ABE" w:rsidRPr="005112BF" w:rsidRDefault="00590ABE" w:rsidP="00590ABE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در رابطه با تسبیب روایاتی هم داریم. </w:t>
      </w:r>
    </w:p>
    <w:p w:rsidR="00A16E97" w:rsidRPr="005112BF" w:rsidRDefault="00590ABE" w:rsidP="00A16E97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روایت اول: </w:t>
      </w:r>
      <w:r w:rsidRPr="005112BF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مُحَمَّدُ بْنُ یَعْقُوبَ عَنْ عَلِیِّ بْنِ إِبْرَاهِیمَ عَنْ أَبِیهِ عَنِ ابْنِ أَبِی عُمَیْرٍ عَنْ حَمَّادٍ عَنِ الْحَلَبِیِّ عَنْ أَبِی عَبْدِ اللَّهِ علیه السلام قَالَ سَأَلْتُهُ عَنِ الشَّیْ‏ءِ یُوضَعُ عَلَى الطَّرِیقِ فَتَمُرُّ الدَّابَّةُ فَتَنْفِرُ بِصَاحِبِهَا فَتَعْقِرُهُ فَقَالَ کُلُّ شَیْ‏ءٍ یُضِرُّ بِطَرِیقِ الْمُسْلِمِینَ فَصَاحِبُهُ ضَامِنٌ لِمَا یُصِیبُهُ</w:t>
      </w:r>
      <w:r w:rsidRPr="005112BF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>.</w:t>
      </w:r>
      <w:r w:rsidRPr="005112BF">
        <w:rPr>
          <w:rStyle w:val="FootnoteReference"/>
          <w:rFonts w:ascii="Traditional Arabic" w:hAnsi="Traditional Arabic" w:cs="Traditional Arabic"/>
          <w:rtl/>
        </w:rPr>
        <w:footnoteReference w:id="1"/>
      </w:r>
      <w:r w:rsidRPr="005112BF">
        <w:rPr>
          <w:rFonts w:ascii="Traditional Arabic" w:hAnsi="Traditional Arabic" w:cs="Traditional Arabic"/>
          <w:rtl/>
        </w:rPr>
        <w:t xml:space="preserve">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کسی چیزی را در میانه راه قرار می دهد. چ</w:t>
      </w:r>
      <w:r w:rsidR="00A16E97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ه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ارپایی که راکب دار</w:t>
      </w:r>
      <w:r w:rsidR="00A16E97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 به آن چیز می خورد و رم می کند و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سوار را </w:t>
      </w:r>
      <w:r w:rsidR="00A16E97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بر زمین می زند و در اثر همین، راکب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آسیب می بیند. فرمودند: هر چیزی که به نحوی به راه مسلمین آسیب برسان</w:t>
      </w:r>
      <w:r w:rsidR="00A16E97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د، صاحب آن چیز نسبت به هر حادثه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، ضامن است</w:t>
      </w:r>
      <w:r w:rsidR="00A16E97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</w:p>
    <w:p w:rsidR="00590ABE" w:rsidRPr="005112BF" w:rsidRDefault="00590ABE" w:rsidP="00A16E97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روایت دوم: </w:t>
      </w:r>
      <w:r w:rsidRPr="005112BF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محمد بن الحسن بإسناده عن ابن أبي نجران ، عن مثنى ، عن زرارة ، عن أبي عبدالله ( عليه السلام ) قال : قلت له : رجل حفر بئرا في غير ملكه فمر عليها رجل فوقع فيها ، فقال : عليه الضمان لان كل من حفر في غير ملكه كان عليه الضمان</w:t>
      </w:r>
      <w:r w:rsidRPr="005112BF">
        <w:rPr>
          <w:rFonts w:ascii="Traditional Arabic" w:hAnsi="Traditional Arabic" w:cs="Traditional Arabic"/>
          <w:b/>
          <w:bCs/>
          <w:color w:val="008000"/>
          <w:sz w:val="30"/>
          <w:szCs w:val="30"/>
        </w:rPr>
        <w:t xml:space="preserve"> </w:t>
      </w:r>
      <w:r w:rsidRPr="005112BF">
        <w:rPr>
          <w:rStyle w:val="FootnoteReference"/>
          <w:rFonts w:ascii="Traditional Arabic" w:hAnsi="Traditional Arabic" w:cs="Traditional Arabic"/>
          <w:b/>
          <w:bCs/>
          <w:color w:val="008000"/>
          <w:sz w:val="30"/>
          <w:szCs w:val="30"/>
        </w:rPr>
        <w:footnoteReference w:id="2"/>
      </w:r>
      <w:r w:rsidRPr="005112BF">
        <w:rPr>
          <w:rFonts w:ascii="Traditional Arabic" w:hAnsi="Traditional Arabic" w:cs="Traditional Arabic"/>
          <w:b/>
          <w:bCs/>
          <w:color w:val="008000"/>
          <w:sz w:val="30"/>
          <w:szCs w:val="30"/>
        </w:rPr>
        <w:t>.</w:t>
      </w:r>
      <w:r w:rsidR="00A16E97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شخصی در غیر ملک خود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چاهی حفر کرده و شخصی </w:t>
      </w:r>
      <w:r w:rsidR="00A16E97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نیز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در چاه افتاد و مرد. حضرت فرمود : </w:t>
      </w:r>
      <w:r w:rsidR="00A16E97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چاه کن 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ضامن است</w:t>
      </w:r>
      <w:r w:rsidR="00A16E97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زیر</w:t>
      </w:r>
      <w:r w:rsidR="00A16E97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ا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هر</w:t>
      </w:r>
      <w:r w:rsidR="00A16E97"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ک</w:t>
      </w: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س در غیر مل خودش چاه حفر کند ضامن است.</w:t>
      </w:r>
    </w:p>
    <w:p w:rsidR="00590ABE" w:rsidRPr="005112BF" w:rsidRDefault="00590ABE" w:rsidP="00590ABE">
      <w:pPr>
        <w:bidi/>
        <w:jc w:val="both"/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</w:pP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>روایت سوم:</w:t>
      </w:r>
      <w:r w:rsidRPr="005112BF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 xml:space="preserve"> وبإسناده عن أحمد بن محمد بن خالد ، عن عثمان بن عيسى ، عن سماعة ، قال : سألته عن الرجل يحفر البئر في داره أو في أرضه ، فقال</w:t>
      </w:r>
      <w:r w:rsidRPr="005112BF">
        <w:rPr>
          <w:rFonts w:ascii="Traditional Arabic" w:hAnsi="Traditional Arabic" w:cs="Traditional Arabic"/>
          <w:b/>
          <w:bCs/>
          <w:color w:val="008000"/>
          <w:sz w:val="30"/>
          <w:szCs w:val="30"/>
        </w:rPr>
        <w:t xml:space="preserve"> :</w:t>
      </w:r>
      <w:r w:rsidRPr="005112BF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 xml:space="preserve"> أما ما حفر في ملكه فليس عليه ضمان ، وأما ما حفر في الطريق ، أو في غير ما يملك فهو ضامن لما يسقط فيه</w:t>
      </w:r>
      <w:r w:rsidRPr="005112BF">
        <w:rPr>
          <w:rFonts w:ascii="Traditional Arabic" w:hAnsi="Traditional Arabic" w:cs="Traditional Arabic"/>
          <w:b/>
          <w:bCs/>
          <w:color w:val="008000"/>
          <w:sz w:val="30"/>
          <w:szCs w:val="30"/>
        </w:rPr>
        <w:t xml:space="preserve"> .</w:t>
      </w:r>
      <w:r w:rsidRPr="005112BF">
        <w:rPr>
          <w:rStyle w:val="FootnoteReference"/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footnoteReference w:id="3"/>
      </w:r>
    </w:p>
    <w:p w:rsidR="00152670" w:rsidRPr="005112BF" w:rsidRDefault="00590ABE" w:rsidP="00A16E97">
      <w:pPr>
        <w:bidi/>
        <w:jc w:val="both"/>
        <w:rPr>
          <w:rFonts w:ascii="Traditional Arabic" w:hAnsi="Traditional Arabic" w:cs="Traditional Arabic"/>
          <w:sz w:val="26"/>
          <w:szCs w:val="26"/>
          <w:lang w:bidi="fa-IR"/>
        </w:rPr>
      </w:pPr>
      <w:r w:rsidRPr="005112B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روایت چهارم: </w:t>
      </w:r>
      <w:r w:rsidRPr="005112BF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 xml:space="preserve">محمد بن يعقوب ، عن علي بن إبراهيم ، عن أبيه ، عن النوفلي ، عن السكوني ، عن أبي عبدالله ( عليه السلام ) قال : قال رسول الله ( صلى الله عليه وآله ) : من أخرج ميزابا ، أو كنيفا ، أو أوتد وتدا ، أو أوثق دابة ، أو حفر شيئا في طريق المسلمين فأصاب شيئا </w:t>
      </w:r>
      <w:r w:rsidRPr="005112BF">
        <w:rPr>
          <w:rFonts w:ascii="Traditional Arabic" w:hAnsi="Traditional Arabic" w:cs="Traditional Arabic"/>
          <w:b/>
          <w:bCs/>
          <w:color w:val="008000"/>
          <w:sz w:val="30"/>
          <w:szCs w:val="30"/>
        </w:rPr>
        <w:t xml:space="preserve">(1) </w:t>
      </w:r>
      <w:r w:rsidRPr="005112BF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فعطب فهو له ضامن</w:t>
      </w:r>
      <w:r w:rsidRPr="005112BF">
        <w:rPr>
          <w:rFonts w:ascii="Traditional Arabic" w:hAnsi="Traditional Arabic" w:cs="Traditional Arabic"/>
          <w:b/>
          <w:bCs/>
          <w:color w:val="008000"/>
          <w:sz w:val="30"/>
          <w:szCs w:val="30"/>
        </w:rPr>
        <w:t xml:space="preserve"> .</w:t>
      </w:r>
      <w:r w:rsidRPr="005112BF">
        <w:rPr>
          <w:rStyle w:val="FootnoteReference"/>
          <w:rFonts w:ascii="Traditional Arabic" w:hAnsi="Traditional Arabic" w:cs="Traditional Arabic"/>
          <w:sz w:val="26"/>
          <w:szCs w:val="26"/>
          <w:rtl/>
          <w:lang w:bidi="fa-IR"/>
        </w:rPr>
        <w:footnoteReference w:id="4"/>
      </w:r>
    </w:p>
    <w:sectPr w:rsidR="00152670" w:rsidRPr="005112BF" w:rsidSect="00590ABE">
      <w:headerReference w:type="default" r:id="rId6"/>
      <w:pgSz w:w="11906" w:h="16838"/>
      <w:pgMar w:top="1440" w:right="1440" w:bottom="1170" w:left="1440" w:header="708" w:footer="1152" w:gutter="0"/>
      <w:pgNumType w:start="144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C4E" w:rsidRDefault="002E7C4E" w:rsidP="00590ABE">
      <w:pPr>
        <w:spacing w:after="0" w:line="240" w:lineRule="auto"/>
      </w:pPr>
      <w:r>
        <w:separator/>
      </w:r>
    </w:p>
  </w:endnote>
  <w:endnote w:type="continuationSeparator" w:id="0">
    <w:p w:rsidR="002E7C4E" w:rsidRDefault="002E7C4E" w:rsidP="0059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C4E" w:rsidRDefault="002E7C4E" w:rsidP="00590ABE">
      <w:pPr>
        <w:spacing w:after="0" w:line="240" w:lineRule="auto"/>
      </w:pPr>
      <w:r>
        <w:separator/>
      </w:r>
    </w:p>
  </w:footnote>
  <w:footnote w:type="continuationSeparator" w:id="0">
    <w:p w:rsidR="002E7C4E" w:rsidRDefault="002E7C4E" w:rsidP="00590ABE">
      <w:pPr>
        <w:spacing w:after="0" w:line="240" w:lineRule="auto"/>
      </w:pPr>
      <w:r>
        <w:continuationSeparator/>
      </w:r>
    </w:p>
  </w:footnote>
  <w:footnote w:id="1">
    <w:bookmarkStart w:id="0" w:name="_GoBack"/>
    <w:p w:rsidR="00590ABE" w:rsidRPr="005112BF" w:rsidRDefault="002E7C4E" w:rsidP="00590ABE">
      <w:pPr>
        <w:pStyle w:val="FootnoteText"/>
        <w:bidi/>
        <w:rPr>
          <w:rFonts w:ascii="Traditional Arabic" w:hAnsi="Traditional Arabic" w:cs="Traditional Arabic"/>
          <w:sz w:val="22"/>
          <w:szCs w:val="22"/>
          <w:rtl/>
          <w:lang w:bidi="fa-IR"/>
        </w:rPr>
      </w:pPr>
      <w:r w:rsidRPr="005112BF">
        <w:rPr>
          <w:rFonts w:ascii="Traditional Arabic" w:hAnsi="Traditional Arabic" w:cs="Traditional Arabic"/>
        </w:rPr>
        <w:fldChar w:fldCharType="begin"/>
      </w:r>
      <w:r w:rsidRPr="005112BF">
        <w:rPr>
          <w:rFonts w:ascii="Traditional Arabic" w:hAnsi="Traditional Arabic" w:cs="Traditional Arabic"/>
        </w:rPr>
        <w:instrText xml:space="preserve"> HYPERLINK "http://lib.eshia.ir/11024/19/181/????" </w:instrText>
      </w:r>
      <w:r w:rsidRPr="005112BF">
        <w:rPr>
          <w:rFonts w:ascii="Traditional Arabic" w:hAnsi="Traditional Arabic" w:cs="Traditional Arabic"/>
        </w:rPr>
        <w:fldChar w:fldCharType="separate"/>
      </w:r>
      <w:r w:rsidR="00590ABE" w:rsidRPr="005112BF">
        <w:rPr>
          <w:rStyle w:val="Hyperlink"/>
          <w:rFonts w:ascii="Traditional Arabic" w:hAnsi="Traditional Arabic" w:cs="Traditional Arabic"/>
          <w:sz w:val="22"/>
          <w:szCs w:val="22"/>
          <w:vertAlign w:val="superscript"/>
        </w:rPr>
        <w:footnoteRef/>
      </w:r>
      <w:r w:rsidR="00590ABE" w:rsidRPr="005112BF">
        <w:rPr>
          <w:rStyle w:val="Hyperlink"/>
          <w:rFonts w:ascii="Traditional Arabic" w:hAnsi="Traditional Arabic" w:cs="Traditional Arabic"/>
          <w:sz w:val="22"/>
          <w:szCs w:val="22"/>
        </w:rPr>
        <w:t xml:space="preserve"> </w:t>
      </w:r>
      <w:r w:rsidR="00590ABE" w:rsidRPr="005112BF">
        <w:rPr>
          <w:rStyle w:val="Hyperlink"/>
          <w:rFonts w:ascii="Traditional Arabic" w:hAnsi="Traditional Arabic" w:cs="Traditional Arabic"/>
          <w:sz w:val="22"/>
          <w:szCs w:val="22"/>
          <w:rtl/>
          <w:lang w:bidi="fa-IR"/>
        </w:rPr>
        <w:t xml:space="preserve">- </w:t>
      </w:r>
      <w:bookmarkStart w:id="1" w:name="_ftnref4"/>
      <w:bookmarkEnd w:id="1"/>
      <w:r w:rsidR="00590ABE" w:rsidRPr="005112BF">
        <w:rPr>
          <w:rStyle w:val="Hyperlink"/>
          <w:rFonts w:ascii="Traditional Arabic" w:hAnsi="Traditional Arabic" w:cs="Traditional Arabic"/>
          <w:sz w:val="22"/>
          <w:szCs w:val="22"/>
          <w:rtl/>
        </w:rPr>
        <w:t>وسائل الشیعة 29: 243، کتاب الدیات، ابواب موجبات ضمان، باب9، ح1، ط آل البیت</w:t>
      </w:r>
      <w:r w:rsidR="00590ABE" w:rsidRPr="005112BF">
        <w:rPr>
          <w:rStyle w:val="Hyperlink"/>
          <w:rFonts w:ascii="Traditional Arabic" w:hAnsi="Traditional Arabic" w:cs="Traditional Arabic"/>
          <w:sz w:val="22"/>
          <w:szCs w:val="22"/>
        </w:rPr>
        <w:t>.</w:t>
      </w:r>
      <w:r w:rsidRPr="005112BF">
        <w:rPr>
          <w:rStyle w:val="Hyperlink"/>
          <w:rFonts w:ascii="Traditional Arabic" w:hAnsi="Traditional Arabic" w:cs="Traditional Arabic"/>
          <w:sz w:val="22"/>
          <w:szCs w:val="22"/>
        </w:rPr>
        <w:fldChar w:fldCharType="end"/>
      </w:r>
    </w:p>
  </w:footnote>
  <w:footnote w:id="2">
    <w:p w:rsidR="00590ABE" w:rsidRPr="005112BF" w:rsidRDefault="00590ABE" w:rsidP="00590ABE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5112BF">
        <w:rPr>
          <w:rStyle w:val="FootnoteReference"/>
          <w:rFonts w:ascii="Traditional Arabic" w:hAnsi="Traditional Arabic" w:cs="Traditional Arabic"/>
          <w:sz w:val="22"/>
          <w:szCs w:val="22"/>
        </w:rPr>
        <w:footnoteRef/>
      </w:r>
      <w:r w:rsidRPr="005112BF">
        <w:rPr>
          <w:rFonts w:ascii="Traditional Arabic" w:hAnsi="Traditional Arabic" w:cs="Traditional Arabic"/>
          <w:sz w:val="22"/>
          <w:szCs w:val="22"/>
        </w:rPr>
        <w:t xml:space="preserve"> </w:t>
      </w:r>
      <w:r w:rsidRPr="005112BF">
        <w:rPr>
          <w:rFonts w:ascii="Traditional Arabic" w:hAnsi="Traditional Arabic" w:cs="Traditional Arabic"/>
          <w:sz w:val="22"/>
          <w:szCs w:val="22"/>
          <w:rtl/>
          <w:lang w:bidi="fa-IR"/>
        </w:rPr>
        <w:t>-</w:t>
      </w:r>
      <w:r w:rsidRPr="005112BF">
        <w:rPr>
          <w:rFonts w:ascii="Traditional Arabic" w:hAnsi="Traditional Arabic" w:cs="Traditional Arabic"/>
          <w:sz w:val="22"/>
          <w:szCs w:val="22"/>
          <w:rtl/>
        </w:rPr>
        <w:t xml:space="preserve"> </w:t>
      </w:r>
      <w:hyperlink r:id="rId1" w:history="1">
        <w:r w:rsidRPr="005112BF">
          <w:rPr>
            <w:rStyle w:val="Hyperlink"/>
            <w:rFonts w:ascii="Traditional Arabic" w:hAnsi="Traditional Arabic" w:cs="Traditional Arabic"/>
            <w:sz w:val="22"/>
            <w:szCs w:val="22"/>
            <w:rtl/>
            <w:lang w:bidi="fa-IR"/>
          </w:rPr>
          <w:t>وسائل الشیعة 29: 241، کتاب الدیات، ابواب موجبات ضمان، باب8، ح1، ط آل البیت.</w:t>
        </w:r>
      </w:hyperlink>
    </w:p>
  </w:footnote>
  <w:footnote w:id="3">
    <w:p w:rsidR="00590ABE" w:rsidRPr="005112BF" w:rsidRDefault="00590ABE" w:rsidP="00590ABE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5112BF">
        <w:rPr>
          <w:rStyle w:val="FootnoteReference"/>
          <w:rFonts w:ascii="Traditional Arabic" w:hAnsi="Traditional Arabic" w:cs="Traditional Arabic"/>
        </w:rPr>
        <w:footnoteRef/>
      </w:r>
      <w:r w:rsidRPr="005112BF">
        <w:rPr>
          <w:rFonts w:ascii="Traditional Arabic" w:hAnsi="Traditional Arabic" w:cs="Traditional Arabic"/>
        </w:rPr>
        <w:t xml:space="preserve"> </w:t>
      </w:r>
      <w:r w:rsidRPr="005112BF">
        <w:rPr>
          <w:rFonts w:ascii="Traditional Arabic" w:hAnsi="Traditional Arabic" w:cs="Traditional Arabic"/>
          <w:rtl/>
          <w:lang w:bidi="fa-IR"/>
        </w:rPr>
        <w:t xml:space="preserve">- </w:t>
      </w:r>
      <w:hyperlink r:id="rId2" w:history="1">
        <w:r w:rsidRPr="005112BF">
          <w:rPr>
            <w:rStyle w:val="Hyperlink"/>
            <w:rFonts w:ascii="Traditional Arabic" w:hAnsi="Traditional Arabic" w:cs="Traditional Arabic"/>
            <w:sz w:val="22"/>
            <w:szCs w:val="22"/>
            <w:rtl/>
            <w:lang w:bidi="fa-IR"/>
          </w:rPr>
          <w:t>وسائل الشیعة 29: 241، کتاب الدیات، ابواب موجبات ضمان، باب8، ح3، ط آل البیت.</w:t>
        </w:r>
      </w:hyperlink>
    </w:p>
  </w:footnote>
  <w:footnote w:id="4">
    <w:p w:rsidR="00590ABE" w:rsidRPr="005112BF" w:rsidRDefault="00590ABE" w:rsidP="00590ABE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5112BF">
        <w:rPr>
          <w:rStyle w:val="FootnoteReference"/>
          <w:rFonts w:ascii="Traditional Arabic" w:hAnsi="Traditional Arabic" w:cs="Traditional Arabic"/>
        </w:rPr>
        <w:footnoteRef/>
      </w:r>
      <w:r w:rsidRPr="005112BF">
        <w:rPr>
          <w:rFonts w:ascii="Traditional Arabic" w:hAnsi="Traditional Arabic" w:cs="Traditional Arabic"/>
        </w:rPr>
        <w:t xml:space="preserve"> </w:t>
      </w:r>
      <w:r w:rsidRPr="005112BF">
        <w:rPr>
          <w:rFonts w:ascii="Traditional Arabic" w:hAnsi="Traditional Arabic" w:cs="Traditional Arabic"/>
          <w:rtl/>
          <w:lang w:bidi="fa-IR"/>
        </w:rPr>
        <w:t xml:space="preserve">- </w:t>
      </w:r>
      <w:hyperlink r:id="rId3" w:history="1">
        <w:r w:rsidRPr="005112BF">
          <w:rPr>
            <w:rStyle w:val="Hyperlink"/>
            <w:rFonts w:ascii="Traditional Arabic" w:hAnsi="Traditional Arabic" w:cs="Traditional Arabic"/>
            <w:sz w:val="22"/>
            <w:szCs w:val="22"/>
            <w:rtl/>
            <w:lang w:bidi="fa-IR"/>
          </w:rPr>
          <w:t>وسائل الشیعة 29: 245، کتاب الدیات، ابواب موجبات ضمان، باب8، ح3، ط آل البیت.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2BF" w:rsidRPr="00267C36" w:rsidRDefault="005112BF" w:rsidP="005112BF">
    <w:pPr>
      <w:pStyle w:val="Header"/>
      <w:bidi/>
      <w:rPr>
        <w:rFonts w:ascii="Traditional Arabic" w:hAnsi="Traditional Arabic" w:cs="Traditional Arabic"/>
        <w:lang w:bidi="fa-IR"/>
      </w:rPr>
    </w:pPr>
    <w:r>
      <w:rPr>
        <w:rFonts w:ascii="Traditional Arabic" w:hAnsi="Traditional Arabic" w:cs="Traditional Arabic"/>
        <w:rtl/>
      </w:rPr>
      <w:t>درس فقه - آیت الله موسوی جزایری –</w:t>
    </w:r>
    <w:r>
      <w:rPr>
        <w:rFonts w:ascii="Traditional Arabic" w:hAnsi="Traditional Arabic" w:cs="Traditional Arabic" w:hint="cs"/>
        <w:rtl/>
      </w:rPr>
      <w:t xml:space="preserve">یک </w:t>
    </w:r>
    <w:r>
      <w:rPr>
        <w:rFonts w:ascii="Traditional Arabic" w:hAnsi="Traditional Arabic" w:cs="Traditional Arabic"/>
        <w:rtl/>
      </w:rPr>
      <w:t xml:space="preserve">شنبه </w:t>
    </w:r>
    <w:r>
      <w:rPr>
        <w:rFonts w:ascii="Traditional Arabic" w:hAnsi="Traditional Arabic" w:cs="Traditional Arabic" w:hint="cs"/>
        <w:rtl/>
      </w:rPr>
      <w:t>22</w:t>
    </w:r>
    <w:r>
      <w:rPr>
        <w:rFonts w:ascii="Traditional Arabic" w:hAnsi="Traditional Arabic" w:cs="Traditional Arabic"/>
        <w:rtl/>
      </w:rPr>
      <w:t>/</w:t>
    </w:r>
    <w:r>
      <w:rPr>
        <w:rFonts w:ascii="Traditional Arabic" w:hAnsi="Traditional Arabic" w:cs="Traditional Arabic" w:hint="cs"/>
        <w:rtl/>
      </w:rPr>
      <w:t>01</w:t>
    </w:r>
    <w:r>
      <w:rPr>
        <w:rFonts w:ascii="Traditional Arabic" w:hAnsi="Traditional Arabic" w:cs="Traditional Arabic"/>
        <w:rtl/>
      </w:rPr>
      <w:t>/139</w:t>
    </w:r>
    <w:r>
      <w:rPr>
        <w:rFonts w:ascii="Traditional Arabic" w:hAnsi="Traditional Arabic" w:cs="Traditional Arabic" w:hint="cs"/>
        <w:rtl/>
      </w:rPr>
      <w:t>5</w:t>
    </w:r>
  </w:p>
  <w:p w:rsidR="003E2B14" w:rsidRPr="005112BF" w:rsidRDefault="002E7C4E" w:rsidP="005112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BE"/>
    <w:rsid w:val="00152670"/>
    <w:rsid w:val="002E7C4E"/>
    <w:rsid w:val="005112BF"/>
    <w:rsid w:val="00590ABE"/>
    <w:rsid w:val="00636F3C"/>
    <w:rsid w:val="00807BE3"/>
    <w:rsid w:val="00A16E97"/>
    <w:rsid w:val="00B515B7"/>
    <w:rsid w:val="00BE071B"/>
    <w:rsid w:val="00DD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2C4EE1F9"/>
  <w15:chartTrackingRefBased/>
  <w15:docId w15:val="{C820A7A5-3933-4E7A-8839-EB1D8941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ABE"/>
  </w:style>
  <w:style w:type="paragraph" w:styleId="Footer">
    <w:name w:val="footer"/>
    <w:basedOn w:val="Normal"/>
    <w:link w:val="FooterChar"/>
    <w:uiPriority w:val="99"/>
    <w:unhideWhenUsed/>
    <w:rsid w:val="00590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ABE"/>
  </w:style>
  <w:style w:type="paragraph" w:styleId="FootnoteText">
    <w:name w:val="footnote text"/>
    <w:basedOn w:val="Normal"/>
    <w:link w:val="FootnoteTextChar"/>
    <w:uiPriority w:val="99"/>
    <w:unhideWhenUsed/>
    <w:rsid w:val="00590A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0A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0AB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90A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lib.eshia.ir/11025/29/241/&#1581;&#1601;&#1585;" TargetMode="External"/><Relationship Id="rId2" Type="http://schemas.openxmlformats.org/officeDocument/2006/relationships/hyperlink" Target="http://lib.eshia.ir/11025/29/241/&#1581;&#1601;&#1585;" TargetMode="External"/><Relationship Id="rId1" Type="http://schemas.openxmlformats.org/officeDocument/2006/relationships/hyperlink" Target="http://lib.eshia.ir/11025/29/241/&#1581;&#1601;&#1585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3</cp:revision>
  <dcterms:created xsi:type="dcterms:W3CDTF">2016-05-08T03:16:00Z</dcterms:created>
  <dcterms:modified xsi:type="dcterms:W3CDTF">2016-05-10T17:35:00Z</dcterms:modified>
</cp:coreProperties>
</file>