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DDE4" w14:textId="7DC0B3A5" w:rsidR="008E0B2E" w:rsidRPr="008E0B2E" w:rsidRDefault="008E0B2E" w:rsidP="00324D34">
      <w:pPr>
        <w:jc w:val="both"/>
        <w:rPr>
          <w:rFonts w:ascii="Traditional Arabic" w:hAnsi="Traditional Arabic" w:cs="Traditional Arabic"/>
          <w:sz w:val="26"/>
          <w:szCs w:val="26"/>
          <w:lang w:bidi="ar-AE"/>
        </w:rPr>
      </w:pPr>
      <w:r w:rsidRPr="008E0B2E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8E0B2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324D34">
        <w:rPr>
          <w:rFonts w:ascii="Traditional Arabic" w:hAnsi="Traditional Arabic" w:cs="Traditional Arabic" w:hint="cs"/>
          <w:sz w:val="26"/>
          <w:szCs w:val="26"/>
          <w:rtl/>
        </w:rPr>
        <w:t>بطلان شرکت با موت، جنون،</w:t>
      </w:r>
      <w:bookmarkStart w:id="0" w:name="_GoBack"/>
      <w:bookmarkEnd w:id="0"/>
      <w:r w:rsidR="00324D34">
        <w:rPr>
          <w:rFonts w:ascii="Traditional Arabic" w:hAnsi="Traditional Arabic" w:cs="Traditional Arabic" w:hint="cs"/>
          <w:sz w:val="26"/>
          <w:szCs w:val="26"/>
          <w:rtl/>
        </w:rPr>
        <w:t xml:space="preserve"> بیهوشی و حجر یکی از شرکاء</w:t>
      </w:r>
      <w:r w:rsidRPr="008E0B2E">
        <w:rPr>
          <w:rFonts w:ascii="Traditional Arabic" w:hAnsi="Traditional Arabic" w:cs="Traditional Arabic"/>
          <w:sz w:val="26"/>
          <w:szCs w:val="26"/>
          <w:rtl/>
        </w:rPr>
        <w:t>/شرکت/ بانکداری اسلامی</w:t>
      </w:r>
      <w:r w:rsidRPr="008E0B2E"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77705DAB" w14:textId="4ECC564A" w:rsidR="0065494B" w:rsidRPr="008E0B2E" w:rsidRDefault="008E0B2E" w:rsidP="008E0B2E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 xml:space="preserve"> م</w:t>
      </w:r>
      <w:r w:rsidR="0065494B" w:rsidRPr="008E0B2E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 xml:space="preserve">ساله </w:t>
      </w:r>
      <w:r w:rsidR="00ED35B2" w:rsidRPr="008E0B2E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دوازدهم</w:t>
      </w:r>
    </w:p>
    <w:p w14:paraId="3DA190D7" w14:textId="22A571A6" w:rsidR="00ED35B2" w:rsidRPr="008E0B2E" w:rsidRDefault="00ED35B2" w:rsidP="00095F9A">
      <w:pPr>
        <w:pStyle w:val="NormalWeb"/>
        <w:bidi/>
        <w:jc w:val="both"/>
        <w:rPr>
          <w:rFonts w:ascii="Traditional Arabic" w:hAnsi="Traditional Arabic" w:cs="Traditional Arabic"/>
          <w:color w:val="0000FF"/>
          <w:sz w:val="26"/>
          <w:szCs w:val="26"/>
        </w:rPr>
      </w:pPr>
      <w:r w:rsidRPr="008E0B2E">
        <w:rPr>
          <w:rFonts w:ascii="Traditional Arabic" w:hAnsi="Traditional Arabic" w:cs="Traditional Arabic"/>
          <w:color w:val="0000FF"/>
          <w:sz w:val="26"/>
          <w:szCs w:val="26"/>
          <w:rtl/>
        </w:rPr>
        <w:t>تبطل الشركة بالموت ، و الجنون و الاغماء، و الحجر بالفلس أو السفه،</w:t>
      </w:r>
      <w:r w:rsidR="00F83D01" w:rsidRPr="008E0B2E">
        <w:rPr>
          <w:rStyle w:val="FootnoteReference"/>
          <w:rFonts w:ascii="Traditional Arabic" w:hAnsi="Traditional Arabic" w:cs="Traditional Arabic"/>
          <w:color w:val="0000FF"/>
          <w:sz w:val="26"/>
          <w:szCs w:val="26"/>
        </w:rPr>
        <w:footnoteReference w:id="1"/>
      </w:r>
    </w:p>
    <w:p w14:paraId="20B5D1BD" w14:textId="77777777" w:rsidR="00220578" w:rsidRPr="008E0B2E" w:rsidRDefault="00095F9A" w:rsidP="0022057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شرکت با موت یا جنون یکی از شرکاء باطل می گردد</w:t>
      </w:r>
      <w:r w:rsidR="00ED35B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زیرا مجنون اختیاری از خودش ندارد و بعد از جنون اذن در تصرفی که داده بود باطل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خواهد شد</w:t>
      </w:r>
      <w:r w:rsidR="00ED35B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و شریک دیگر اجازه تصرف در اموال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شرکت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را</w:t>
      </w:r>
      <w:r w:rsidR="00ED35B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ن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خواهد داشت</w:t>
      </w:r>
      <w:r w:rsidR="00ED35B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>همچنین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است حکم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اغماء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و بی هوشی که آن را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ملحق به جنون و زوال العقل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دانسته اند.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از دیگر موارد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بطلان شرکت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حجر است که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دو عامل دارد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سفه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فلس. سفه به معنای کم عقلی است و سفیه یعنی انسان کم عقل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="00E7136C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سفه در مقابل رشد است</w:t>
      </w:r>
      <w:r w:rsidR="00B352BE" w:rsidRPr="008E0B2E">
        <w:rPr>
          <w:rFonts w:ascii="Traditional Arabic" w:hAnsi="Traditional Arabic" w:cs="Traditional Arabic" w:hint="cs"/>
          <w:sz w:val="26"/>
          <w:szCs w:val="26"/>
          <w:rtl/>
        </w:rPr>
        <w:t>. قرآن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کریم</w:t>
      </w:r>
      <w:r w:rsidR="00B352BE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می فرماید: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B352BE" w:rsidRPr="008E0B2E">
        <w:rPr>
          <w:rFonts w:ascii="Traditional Arabic" w:hAnsi="Traditional Arabic" w:cs="Traditional Arabic"/>
          <w:color w:val="008000"/>
          <w:sz w:val="26"/>
          <w:szCs w:val="26"/>
          <w:rtl/>
        </w:rPr>
        <w:t>وَ لاَ تُؤْتُوا السُّفَهَاءَ أَمْوَالَكُمُ الَّتِي جَعَلَ اللَّهُ لَكُمْ قِيَاماً وَ ارْزُقُوهُمْ فِيهَا وَ اكْسُوهُمْ وَ قُولُوا لَهُمْ قَوْلاً مَعْرُوفاً</w:t>
      </w:r>
      <w:r w:rsidRPr="008E0B2E">
        <w:rPr>
          <w:rStyle w:val="FootnoteReference"/>
          <w:rFonts w:ascii="Traditional Arabic" w:hAnsi="Traditional Arabic" w:cs="Traditional Arabic"/>
          <w:color w:val="000000"/>
          <w:sz w:val="26"/>
          <w:szCs w:val="26"/>
          <w:rtl/>
        </w:rPr>
        <w:footnoteReference w:id="2"/>
      </w:r>
      <w:r w:rsidR="00B352BE" w:rsidRPr="008E0B2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B352BE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یعنی خود مال را به دست سفیه ندهید بلکه خودتان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سفهاء</w:t>
      </w:r>
      <w:r w:rsidR="00B352BE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را بپوشانید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4D77AA97" w14:textId="25736D45" w:rsidR="00F42C47" w:rsidRPr="008E0B2E" w:rsidRDefault="00B352BE" w:rsidP="0022057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از نشانه های سفاهت ولخرجی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بذل و بخشش های بی مورد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است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لذا آثار سفاهت در عبادات مشخص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نشده و در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معاملات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نمایان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می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شو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د.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نماز و روزه و دیگر عبادات بر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شخص سفیه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واجب است بخلاف مجنون لکن سفیه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از تصرف در اموال محجور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است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1FF44114" w14:textId="6B2EF558" w:rsidR="00B352BE" w:rsidRPr="008E0B2E" w:rsidRDefault="00B352BE" w:rsidP="0022057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>یکی دیگر از اسباب حجر م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ُ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ف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َ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ل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َّس شدن است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>شخصی که بدهکاری های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او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از دارائی هایش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بیشتر باشد و طلبکاران شکایت از او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را به حاکم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ببرند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>، حاکم، حکم به افلال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س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>ش می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>کند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. در چنین حالتی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 او می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>گویند ور شکسته.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چنین ش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>خص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ی نیز حق تصرف در اموال خود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را ندارد و تمام اموال او مصادره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شده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و چون به اندازه بدهکاری او نیست، حاکم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دارایی او</w:t>
      </w:r>
      <w:r w:rsidR="00570F8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را 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>با توج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ه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 نسبت</w:t>
      </w:r>
      <w:r w:rsidR="00570F8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بدهکاری هایش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بین طلبکاران تقسیم می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E4532" w:rsidRPr="008E0B2E">
        <w:rPr>
          <w:rFonts w:ascii="Traditional Arabic" w:hAnsi="Traditional Arabic" w:cs="Traditional Arabic" w:hint="cs"/>
          <w:sz w:val="26"/>
          <w:szCs w:val="26"/>
          <w:rtl/>
        </w:rPr>
        <w:t>کند.</w:t>
      </w:r>
      <w:r w:rsidR="00570F8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مثلا اگر موجودی نصف بدهکاری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ها</w:t>
      </w:r>
      <w:r w:rsidR="00570F8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بود به همین نسبت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به طلبکاران می دهند</w:t>
      </w:r>
      <w:r w:rsidR="00570F8F"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پس از اتمام اموال نیز </w:t>
      </w:r>
      <w:r w:rsidR="00570F8F" w:rsidRPr="008E0B2E">
        <w:rPr>
          <w:rFonts w:ascii="Traditional Arabic" w:hAnsi="Traditional Arabic" w:cs="Traditional Arabic" w:hint="cs"/>
          <w:sz w:val="26"/>
          <w:szCs w:val="26"/>
          <w:rtl/>
        </w:rPr>
        <w:t>حاکم تا مدتی حکم به حجر او می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70F8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دهد و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او در مدت مشخص شده </w:t>
      </w:r>
      <w:r w:rsidR="00570F8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حق فعالیت اقتصادی </w:t>
      </w:r>
      <w:r w:rsidR="00220578" w:rsidRPr="008E0B2E">
        <w:rPr>
          <w:rFonts w:ascii="Traditional Arabic" w:hAnsi="Traditional Arabic" w:cs="Traditional Arabic" w:hint="cs"/>
          <w:sz w:val="26"/>
          <w:szCs w:val="26"/>
          <w:rtl/>
        </w:rPr>
        <w:t>را نخواهد داشت. اما با انقضاء مدت حجر او دوباره می تواند به فعالیت اقتضادی بپردازد.</w:t>
      </w:r>
    </w:p>
    <w:p w14:paraId="01386EE3" w14:textId="1622DAA9" w:rsidR="00570F8F" w:rsidRPr="008E0B2E" w:rsidRDefault="00570F8F" w:rsidP="00095F9A">
      <w:pPr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</w:pPr>
      <w:r w:rsidRPr="008E0B2E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بمعنى: أنه لا يجوز للآخر التصرف، و أما أصل الشركة فهي باقية</w:t>
      </w:r>
      <w:r w:rsidR="00F83D01" w:rsidRPr="008E0B2E">
        <w:rPr>
          <w:rStyle w:val="FootnoteReference"/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footnoteReference w:id="3"/>
      </w:r>
    </w:p>
    <w:p w14:paraId="43872601" w14:textId="77777777" w:rsidR="009301FF" w:rsidRPr="008E0B2E" w:rsidRDefault="009301FF" w:rsidP="009301F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حال نوبت به معنای بطلان می رسد که پیش تر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وعده آن را داده بودیم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معنای بطلان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آن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است که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عقد باطل می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>شود اما اصل شرکت یعنی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اشاعه اموال که بر اثر امتزاج بوجود آمده بر حال خود با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قی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خواهد بود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>. وقتی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شریکی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از دنیا می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>رود سهم مشاع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او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 ورثه می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>رسد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(ما ترکه المیت من ملک او حق فلوارثه) یعنی هرچه که داشته به ورثه منتقل می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فرض ما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>هم این بود که در اینجا سهم مشاعی داشته که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طبعا</w:t>
      </w:r>
      <w:r w:rsidR="00F04222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 ورثه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خواهد رسید.</w:t>
      </w:r>
    </w:p>
    <w:p w14:paraId="7FE5C076" w14:textId="5333E420" w:rsidR="00F04222" w:rsidRPr="008E0B2E" w:rsidRDefault="00F04222" w:rsidP="009301F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پس اصل اشاعه اموال که بر اثر شرکت بوجود آمده بود از بین نمی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رود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لکن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اذن تصرفی که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با عقد شرکت بوجود آمده بود،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بعد از موتش باطل می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شود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تا وقتی که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شریک 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>زنده بود نسبت به ا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>وال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خود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ولایت داشت لذا به شریک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دیگر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اجازه تصرف داده بود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اما بعد 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از موت دیگر ولایتی نسبت اموال ندارد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زیرا اموال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او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 ملکیت ورثه در آمده و ولایت بر اموال به ورثه منتقل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می شود.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لذا اذن او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که در زمان عقد صادر شده بود، 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اعتباری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نخواهد داشت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و ورثه باید اذن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جدید در تصرف </w:t>
      </w:r>
      <w:r w:rsidR="00027F8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دهند. </w:t>
      </w:r>
    </w:p>
    <w:p w14:paraId="7C6B3289" w14:textId="63623C95" w:rsidR="00027F8D" w:rsidRPr="008E0B2E" w:rsidRDefault="00027F8D" w:rsidP="00095F9A">
      <w:pPr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8E0B2E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نعم يبطل أيضاً ما قرراه من زيادة أحدهما في النماء بالنسبة إلى ماله أو نقصان الخسارة</w:t>
      </w:r>
      <w:r w:rsidR="00F83D01" w:rsidRPr="008E0B2E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footnoteReference w:id="4"/>
      </w:r>
    </w:p>
    <w:p w14:paraId="0FA333C8" w14:textId="0039917D" w:rsidR="00027F8D" w:rsidRPr="008E0B2E" w:rsidRDefault="00027F8D" w:rsidP="009301F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اگر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یکی از شرکاء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در زمان حیا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ش اذن مشروطی داده بود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مثلا گفته بود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: اجازه می دهم،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 ش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رطی که سهم من از سود بیشتر باشد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. چون این شرط از مل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حقات اذن بوده و اذن هم باطل شده،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بالتبع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تمام قیود و شروط اذن هم باطل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خواهند بود و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ورثه میت باید قرار داد جدیدی را تنظیم و با شریک متوفی به توافق جدیدی </w:t>
      </w:r>
      <w:r w:rsidR="009301FF" w:rsidRPr="008E0B2E">
        <w:rPr>
          <w:rFonts w:ascii="Traditional Arabic" w:hAnsi="Traditional Arabic" w:cs="Traditional Arabic" w:hint="cs"/>
          <w:sz w:val="26"/>
          <w:szCs w:val="26"/>
          <w:rtl/>
        </w:rPr>
        <w:t>حاصل کنند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634BDA94" w14:textId="68907BDE" w:rsidR="00027F8D" w:rsidRPr="008E0B2E" w:rsidRDefault="00B818E5" w:rsidP="00095F9A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26"/>
          <w:szCs w:val="26"/>
        </w:rPr>
      </w:pPr>
      <w:r w:rsidRPr="008E0B2E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ایراد محقق خویی</w:t>
      </w:r>
    </w:p>
    <w:p w14:paraId="37854598" w14:textId="77777777" w:rsidR="00304CCD" w:rsidRPr="008E0B2E" w:rsidRDefault="00B818E5" w:rsidP="00304CCD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سابقا گفتیم که دیگران در خصوص شرط زیاده فرموده بودند: اگر شرط کنند که تمام سود برای یک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نفر باشد این شرط باطل است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زیرا خلاف مقتضای عقد است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اما اگر شرط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شود تا درصد بیشتری به یک نفر برسد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اشکالی ندارد. محقق خویی فرمودند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: تفاوتی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میان اینکه شرط 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همه سود 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برای یک نفر باشد ی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>ا مقدار بیشتر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ی از آن، نیست.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زیرا 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هر دو صورت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خلاف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مقتضای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کتاب و سنت 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بوده و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مقتضای کتاب و سنت تبعیت النما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ء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از اصل 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>مال است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0BA9F9F6" w14:textId="4C1F0323" w:rsidR="00027F8D" w:rsidRPr="008E0B2E" w:rsidRDefault="0056299A" w:rsidP="00304CCD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راه حل ما شرط فعل بود یعنی 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متعاقدین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در قالب صیغه هبه شرط کنند که بعد از تقسیم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سود، مشروط علیه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04CCD" w:rsidRPr="008E0B2E">
        <w:rPr>
          <w:rFonts w:ascii="Traditional Arabic" w:hAnsi="Traditional Arabic" w:cs="Traditional Arabic" w:hint="cs"/>
          <w:sz w:val="26"/>
          <w:szCs w:val="26"/>
          <w:rtl/>
        </w:rPr>
        <w:t>از مال خود، مقداری مشخص را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 دیگری هبه کند.</w:t>
      </w:r>
    </w:p>
    <w:p w14:paraId="0B26C4B2" w14:textId="3FD7A0B6" w:rsidR="001F2F94" w:rsidRPr="008E0B2E" w:rsidRDefault="0056299A" w:rsidP="00095F9A">
      <w:pPr>
        <w:rPr>
          <w:rFonts w:ascii="Traditional Arabic" w:eastAsia="Times New Roman" w:hAnsi="Traditional Arabic" w:cs="Traditional Arabic"/>
          <w:color w:val="0000FF"/>
          <w:sz w:val="26"/>
          <w:szCs w:val="26"/>
        </w:rPr>
      </w:pPr>
      <w:r w:rsidRPr="008E0B2E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إذا تبين بطلان الشركة فالمعاملات الواقعة قبله محكومة بالصحة،</w:t>
      </w:r>
      <w:r w:rsidR="001F2F94" w:rsidRPr="008E0B2E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 xml:space="preserve"> و يكون الربح على نسبة المالين، لكفاية الإذن المفروض حصوله . نعم لو كان مقيداً بالصحة تكون كلها فضوليا بالنسبة إلى من يكون إذنه مقيداً.</w:t>
      </w:r>
      <w:r w:rsidR="00F83D01" w:rsidRPr="008E0B2E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</w:rPr>
        <w:footnoteReference w:id="5"/>
      </w:r>
    </w:p>
    <w:p w14:paraId="2D7EE654" w14:textId="77777777" w:rsidR="00304CCD" w:rsidRPr="008E0B2E" w:rsidRDefault="00304CCD" w:rsidP="00304CCD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در مطلب جدیدی که ارتباطی به مباحث گذشته ندارد، جناب سید 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>می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>فرماید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اگر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شرکاء 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بعد از مدتی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متوجه شدند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که شرکت از ابتدا باطل بوده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معاملات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شان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باطل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نخواهد بود.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زیرا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فی الواقع 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>هرکدام اجازه تصرف را به دیگری داده بود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اما خطای در تطبیق داشتند یعنی فکر می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6299A" w:rsidRPr="008E0B2E">
        <w:rPr>
          <w:rFonts w:ascii="Traditional Arabic" w:hAnsi="Traditional Arabic" w:cs="Traditional Arabic" w:hint="cs"/>
          <w:sz w:val="26"/>
          <w:szCs w:val="26"/>
          <w:rtl/>
        </w:rPr>
        <w:t>کردند که مالشان مشاع است لکن مشاع نبوده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البته اگر اجازه ای که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به یکدیگر داده بودند،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معلق بر صحت شرکت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باشد، همه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معاملات باطل 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خواهد بود و تنها در صورتی که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اجازه مشروط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 وجود عقد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نبوده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باشد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معاملات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صحیح است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58EFC5C1" w14:textId="734ACBF1" w:rsidR="008E0B2E" w:rsidRPr="008E0B2E" w:rsidRDefault="00304CCD" w:rsidP="008E0B2E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حال اگر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اجازه معلق بر صحت شرکت باشد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، معاملاتِ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انجام گرفته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فضولی </w:t>
      </w:r>
      <w:r w:rsidR="008E0B2E" w:rsidRPr="008E0B2E">
        <w:rPr>
          <w:rFonts w:ascii="Traditional Arabic" w:hAnsi="Traditional Arabic" w:cs="Traditional Arabic" w:hint="cs"/>
          <w:sz w:val="26"/>
          <w:szCs w:val="26"/>
          <w:rtl/>
        </w:rPr>
        <w:t>ش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8E0B2E" w:rsidRPr="008E0B2E">
        <w:rPr>
          <w:rFonts w:ascii="Traditional Arabic" w:hAnsi="Traditional Arabic" w:cs="Traditional Arabic" w:hint="cs"/>
          <w:sz w:val="26"/>
          <w:szCs w:val="26"/>
          <w:rtl/>
        </w:rPr>
        <w:t>ه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و صحت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E0B2E" w:rsidRPr="008E0B2E">
        <w:rPr>
          <w:rFonts w:ascii="Traditional Arabic" w:hAnsi="Traditional Arabic" w:cs="Traditional Arabic" w:hint="cs"/>
          <w:sz w:val="26"/>
          <w:szCs w:val="26"/>
          <w:rtl/>
        </w:rPr>
        <w:t>آن ها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>نیاز</w:t>
      </w:r>
      <w:r w:rsidR="008E0B2E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به</w:t>
      </w:r>
      <w:r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>اجازه تمام</w:t>
      </w:r>
      <w:r w:rsidR="00F36C9F" w:rsidRPr="008E0B2E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 اطراف معامله دارد</w:t>
      </w:r>
      <w:r w:rsidR="00F36C9F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. یعنی هم شرکا باید اجازه </w:t>
      </w:r>
      <w:r w:rsidR="001F2F94" w:rsidRPr="008E0B2E">
        <w:rPr>
          <w:rFonts w:ascii="Traditional Arabic" w:hAnsi="Traditional Arabic" w:cs="Traditional Arabic" w:hint="cs"/>
          <w:sz w:val="26"/>
          <w:szCs w:val="26"/>
          <w:rtl/>
        </w:rPr>
        <w:t xml:space="preserve">دهند و هم طرف دیگر معامله باید </w:t>
      </w:r>
      <w:r w:rsidR="00F36C9F" w:rsidRPr="008E0B2E">
        <w:rPr>
          <w:rFonts w:ascii="Traditional Arabic" w:hAnsi="Traditional Arabic" w:cs="Traditional Arabic" w:hint="cs"/>
          <w:sz w:val="26"/>
          <w:szCs w:val="26"/>
          <w:rtl/>
        </w:rPr>
        <w:t>به معامله راضی باشد</w:t>
      </w:r>
      <w:r w:rsidR="008E0B2E" w:rsidRPr="008E0B2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1B0A74F0" w14:textId="3B481F91" w:rsidR="001F2F94" w:rsidRPr="008E0B2E" w:rsidRDefault="00F36C9F" w:rsidP="008E0B2E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sectPr w:rsidR="001F2F94" w:rsidRPr="008E0B2E" w:rsidSect="00ED35B2">
      <w:headerReference w:type="default" r:id="rId8"/>
      <w:pgSz w:w="11906" w:h="16838"/>
      <w:pgMar w:top="1440" w:right="1440" w:bottom="1440" w:left="1440" w:header="708" w:footer="708" w:gutter="0"/>
      <w:pgNumType w:start="3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E8B2" w14:textId="77777777" w:rsidR="00D5685F" w:rsidRDefault="00D5685F" w:rsidP="00CF2919">
      <w:pPr>
        <w:spacing w:after="0" w:line="240" w:lineRule="auto"/>
      </w:pPr>
      <w:r>
        <w:separator/>
      </w:r>
    </w:p>
  </w:endnote>
  <w:endnote w:type="continuationSeparator" w:id="0">
    <w:p w14:paraId="7E85CCD4" w14:textId="77777777" w:rsidR="00D5685F" w:rsidRDefault="00D5685F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00AAA" w14:textId="77777777" w:rsidR="00D5685F" w:rsidRDefault="00D5685F" w:rsidP="00CF2919">
      <w:pPr>
        <w:spacing w:after="0" w:line="240" w:lineRule="auto"/>
      </w:pPr>
      <w:r>
        <w:separator/>
      </w:r>
    </w:p>
  </w:footnote>
  <w:footnote w:type="continuationSeparator" w:id="0">
    <w:p w14:paraId="4B2A04A7" w14:textId="77777777" w:rsidR="00D5685F" w:rsidRDefault="00D5685F" w:rsidP="00CF2919">
      <w:pPr>
        <w:spacing w:after="0" w:line="240" w:lineRule="auto"/>
      </w:pPr>
      <w:r>
        <w:continuationSeparator/>
      </w:r>
    </w:p>
  </w:footnote>
  <w:footnote w:id="1">
    <w:p w14:paraId="4005A4E7" w14:textId="4C893740" w:rsidR="00F83D01" w:rsidRPr="008E0B2E" w:rsidRDefault="00F83D01" w:rsidP="00F83D0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/>
          <w:sz w:val="26"/>
          <w:szCs w:val="26"/>
        </w:rPr>
        <w:footnoteRef/>
      </w:r>
      <w:r w:rsidRPr="008E0B2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hyperlink r:id="rId1" w:history="1">
        <w:r w:rsidRPr="008E0B2E">
          <w:rPr>
            <w:rStyle w:val="Hyperlink"/>
            <w:rFonts w:ascii="Traditional Arabic" w:hAnsi="Traditional Arabic" w:cs="Traditional Arabic" w:hint="cs"/>
            <w:sz w:val="26"/>
            <w:szCs w:val="26"/>
            <w:rtl/>
          </w:rPr>
          <w:t>موسوعة الإمام الخوئي، ج‌31، ص: 211‌</w:t>
        </w:r>
      </w:hyperlink>
    </w:p>
  </w:footnote>
  <w:footnote w:id="2">
    <w:p w14:paraId="20C897B0" w14:textId="7E655283" w:rsidR="00095F9A" w:rsidRPr="008E0B2E" w:rsidRDefault="00095F9A">
      <w:pPr>
        <w:pStyle w:val="FootnoteText"/>
        <w:rPr>
          <w:rFonts w:ascii="Traditional Arabic" w:hAnsi="Traditional Arabic" w:cs="Traditional Arabic"/>
        </w:rPr>
      </w:pPr>
      <w:r w:rsidRPr="008E0B2E">
        <w:rPr>
          <w:rStyle w:val="FootnoteReference"/>
          <w:rFonts w:ascii="Traditional Arabic" w:hAnsi="Traditional Arabic" w:cs="Traditional Arabic"/>
        </w:rPr>
        <w:footnoteRef/>
      </w:r>
      <w:r w:rsidRPr="008E0B2E">
        <w:rPr>
          <w:rFonts w:ascii="Traditional Arabic" w:hAnsi="Traditional Arabic" w:cs="Traditional Arabic"/>
          <w:rtl/>
        </w:rPr>
        <w:t xml:space="preserve"> </w:t>
      </w:r>
      <w:r w:rsidRPr="008E0B2E">
        <w:rPr>
          <w:rFonts w:ascii="Traditional Arabic" w:hAnsi="Traditional Arabic" w:cs="Traditional Arabic" w:hint="cs"/>
          <w:rtl/>
        </w:rPr>
        <w:t>سوره نساء، آیه 5</w:t>
      </w:r>
    </w:p>
  </w:footnote>
  <w:footnote w:id="3">
    <w:p w14:paraId="17A04AC4" w14:textId="2477DC25" w:rsidR="00F83D01" w:rsidRPr="008E0B2E" w:rsidRDefault="00F83D01" w:rsidP="00F83D0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</w:rPr>
      </w:pPr>
      <w:r w:rsidRPr="008E0B2E">
        <w:rPr>
          <w:rFonts w:ascii="Traditional Arabic" w:hAnsi="Traditional Arabic" w:cs="Traditional Arabic"/>
          <w:sz w:val="26"/>
          <w:szCs w:val="26"/>
        </w:rPr>
        <w:footnoteRef/>
      </w:r>
      <w:r w:rsidRPr="008E0B2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hyperlink r:id="rId2" w:history="1">
        <w:r w:rsidRPr="008E0B2E">
          <w:rPr>
            <w:rStyle w:val="Hyperlink"/>
            <w:rFonts w:ascii="Traditional Arabic" w:hAnsi="Traditional Arabic" w:cs="Traditional Arabic" w:hint="cs"/>
            <w:sz w:val="26"/>
            <w:szCs w:val="26"/>
            <w:rtl/>
          </w:rPr>
          <w:t>موسوعة الإمام الخوئي، ج‌31، ص: 211‌</w:t>
        </w:r>
      </w:hyperlink>
    </w:p>
    <w:p w14:paraId="522B4F46" w14:textId="585F8445" w:rsidR="00F83D01" w:rsidRPr="008E0B2E" w:rsidRDefault="00F83D01">
      <w:pPr>
        <w:pStyle w:val="FootnoteText"/>
        <w:rPr>
          <w:rFonts w:ascii="Traditional Arabic" w:hAnsi="Traditional Arabic" w:cs="Traditional Arabic"/>
          <w:rtl/>
        </w:rPr>
      </w:pPr>
    </w:p>
  </w:footnote>
  <w:footnote w:id="4">
    <w:p w14:paraId="4ABB0116" w14:textId="5E7E04A6" w:rsidR="00F83D01" w:rsidRPr="008E0B2E" w:rsidRDefault="00F83D01" w:rsidP="00F83D0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/>
          <w:sz w:val="26"/>
          <w:szCs w:val="26"/>
        </w:rPr>
        <w:footnoteRef/>
      </w:r>
      <w:r w:rsidRPr="008E0B2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hyperlink r:id="rId3" w:history="1">
        <w:r w:rsidRPr="008E0B2E">
          <w:rPr>
            <w:rStyle w:val="Hyperlink"/>
            <w:rFonts w:ascii="Traditional Arabic" w:hAnsi="Traditional Arabic" w:cs="Traditional Arabic" w:hint="cs"/>
            <w:sz w:val="26"/>
            <w:szCs w:val="26"/>
            <w:rtl/>
          </w:rPr>
          <w:t>موسوعة الإمام الخوئي، ج‌31، ص: 211‌</w:t>
        </w:r>
      </w:hyperlink>
    </w:p>
  </w:footnote>
  <w:footnote w:id="5">
    <w:p w14:paraId="4E3D2D39" w14:textId="51567D6D" w:rsidR="00F83D01" w:rsidRPr="008E0B2E" w:rsidRDefault="00F83D01" w:rsidP="008E0B2E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E0B2E">
        <w:rPr>
          <w:rFonts w:ascii="Traditional Arabic" w:hAnsi="Traditional Arabic" w:cs="Traditional Arabic"/>
          <w:sz w:val="26"/>
          <w:szCs w:val="26"/>
        </w:rPr>
        <w:footnoteRef/>
      </w:r>
      <w:r w:rsidRPr="008E0B2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hyperlink r:id="rId4" w:history="1">
        <w:r w:rsidRPr="008E0B2E">
          <w:rPr>
            <w:rStyle w:val="Hyperlink"/>
            <w:rFonts w:ascii="Traditional Arabic" w:hAnsi="Traditional Arabic" w:cs="Traditional Arabic" w:hint="cs"/>
            <w:sz w:val="26"/>
            <w:szCs w:val="26"/>
            <w:rtl/>
          </w:rPr>
          <w:t>موسوعة الإمام الخوئي، ج‌31، ص: 211‌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F059" w14:textId="7A827F0D" w:rsidR="008E0B2E" w:rsidRPr="00344610" w:rsidRDefault="008E0B2E" w:rsidP="008E0B2E">
    <w:pPr>
      <w:pStyle w:val="Header"/>
      <w:rPr>
        <w:rFonts w:ascii="Traditional Arabic" w:hAnsi="Traditional Arabic" w:cs="Traditional Arabic"/>
      </w:rPr>
    </w:pPr>
    <w:r w:rsidRPr="00344610">
      <w:rPr>
        <w:rFonts w:ascii="Traditional Arabic" w:hAnsi="Traditional Arabic" w:cs="Traditional Arabic" w:hint="cs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09/08</w:t>
    </w:r>
    <w:r w:rsidRPr="00344610">
      <w:rPr>
        <w:rFonts w:ascii="Traditional Arabic" w:hAnsi="Traditional Arabic" w:cs="Traditional Arabic" w:hint="cs"/>
        <w:rtl/>
      </w:rPr>
      <w:t>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70061"/>
    <w:rsid w:val="00081262"/>
    <w:rsid w:val="00093086"/>
    <w:rsid w:val="00095F9A"/>
    <w:rsid w:val="000E49E1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1C008E"/>
    <w:rsid w:val="001C703D"/>
    <w:rsid w:val="001D7EAA"/>
    <w:rsid w:val="001E297E"/>
    <w:rsid w:val="001F2F94"/>
    <w:rsid w:val="00220578"/>
    <w:rsid w:val="00220C7D"/>
    <w:rsid w:val="00262F0A"/>
    <w:rsid w:val="00265A05"/>
    <w:rsid w:val="002664CB"/>
    <w:rsid w:val="00291F21"/>
    <w:rsid w:val="00296068"/>
    <w:rsid w:val="002A23F2"/>
    <w:rsid w:val="002C2C16"/>
    <w:rsid w:val="002C3322"/>
    <w:rsid w:val="002F3BD5"/>
    <w:rsid w:val="00304CCD"/>
    <w:rsid w:val="00305EBB"/>
    <w:rsid w:val="003104A9"/>
    <w:rsid w:val="00324D34"/>
    <w:rsid w:val="0034129D"/>
    <w:rsid w:val="00362B08"/>
    <w:rsid w:val="00365A96"/>
    <w:rsid w:val="00383298"/>
    <w:rsid w:val="00387E09"/>
    <w:rsid w:val="00396407"/>
    <w:rsid w:val="003C187F"/>
    <w:rsid w:val="003D2F2B"/>
    <w:rsid w:val="004164D7"/>
    <w:rsid w:val="004248BE"/>
    <w:rsid w:val="004338C5"/>
    <w:rsid w:val="00435973"/>
    <w:rsid w:val="00437FAA"/>
    <w:rsid w:val="00483379"/>
    <w:rsid w:val="0048403D"/>
    <w:rsid w:val="004C5604"/>
    <w:rsid w:val="004D06A3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6299A"/>
    <w:rsid w:val="00570F8F"/>
    <w:rsid w:val="00592F6D"/>
    <w:rsid w:val="005C4215"/>
    <w:rsid w:val="005D6C9C"/>
    <w:rsid w:val="005E4532"/>
    <w:rsid w:val="00614558"/>
    <w:rsid w:val="00622D72"/>
    <w:rsid w:val="006265A7"/>
    <w:rsid w:val="00635D9A"/>
    <w:rsid w:val="0065494B"/>
    <w:rsid w:val="00670871"/>
    <w:rsid w:val="006726F8"/>
    <w:rsid w:val="0069589A"/>
    <w:rsid w:val="0069662C"/>
    <w:rsid w:val="006A0424"/>
    <w:rsid w:val="006E2731"/>
    <w:rsid w:val="0070470F"/>
    <w:rsid w:val="0070772D"/>
    <w:rsid w:val="00715D0A"/>
    <w:rsid w:val="007273D5"/>
    <w:rsid w:val="007536C1"/>
    <w:rsid w:val="00771885"/>
    <w:rsid w:val="00781934"/>
    <w:rsid w:val="00782334"/>
    <w:rsid w:val="007F5890"/>
    <w:rsid w:val="00800FBD"/>
    <w:rsid w:val="00811562"/>
    <w:rsid w:val="00811E0A"/>
    <w:rsid w:val="00814A1D"/>
    <w:rsid w:val="00826D73"/>
    <w:rsid w:val="00831000"/>
    <w:rsid w:val="00857ACD"/>
    <w:rsid w:val="0088009C"/>
    <w:rsid w:val="008A2B77"/>
    <w:rsid w:val="008A6F19"/>
    <w:rsid w:val="008A72D1"/>
    <w:rsid w:val="008B3974"/>
    <w:rsid w:val="008B7922"/>
    <w:rsid w:val="008D3C96"/>
    <w:rsid w:val="008E0B2E"/>
    <w:rsid w:val="008E2FF0"/>
    <w:rsid w:val="008F0E05"/>
    <w:rsid w:val="008F57BD"/>
    <w:rsid w:val="00901BD9"/>
    <w:rsid w:val="009047CE"/>
    <w:rsid w:val="00911027"/>
    <w:rsid w:val="00926620"/>
    <w:rsid w:val="009301FF"/>
    <w:rsid w:val="00931049"/>
    <w:rsid w:val="009432DD"/>
    <w:rsid w:val="00970A49"/>
    <w:rsid w:val="00986E21"/>
    <w:rsid w:val="009A102B"/>
    <w:rsid w:val="009A55FB"/>
    <w:rsid w:val="009C0345"/>
    <w:rsid w:val="009D39E4"/>
    <w:rsid w:val="009E10A5"/>
    <w:rsid w:val="009F0C26"/>
    <w:rsid w:val="009F405E"/>
    <w:rsid w:val="00A10272"/>
    <w:rsid w:val="00A41EDD"/>
    <w:rsid w:val="00A45062"/>
    <w:rsid w:val="00A50DFB"/>
    <w:rsid w:val="00A54483"/>
    <w:rsid w:val="00A60E80"/>
    <w:rsid w:val="00A70849"/>
    <w:rsid w:val="00A745C9"/>
    <w:rsid w:val="00A80C3C"/>
    <w:rsid w:val="00AA360A"/>
    <w:rsid w:val="00AB0B6E"/>
    <w:rsid w:val="00AB40AF"/>
    <w:rsid w:val="00AD01CF"/>
    <w:rsid w:val="00AF4B44"/>
    <w:rsid w:val="00B00A6B"/>
    <w:rsid w:val="00B227F1"/>
    <w:rsid w:val="00B352BE"/>
    <w:rsid w:val="00B52B68"/>
    <w:rsid w:val="00B7050B"/>
    <w:rsid w:val="00B71813"/>
    <w:rsid w:val="00B7513E"/>
    <w:rsid w:val="00B755EE"/>
    <w:rsid w:val="00B80E36"/>
    <w:rsid w:val="00B818E5"/>
    <w:rsid w:val="00BC14EE"/>
    <w:rsid w:val="00BD1682"/>
    <w:rsid w:val="00BD3975"/>
    <w:rsid w:val="00BF47F7"/>
    <w:rsid w:val="00BF6FA3"/>
    <w:rsid w:val="00C14E4C"/>
    <w:rsid w:val="00C2003C"/>
    <w:rsid w:val="00C76F93"/>
    <w:rsid w:val="00C8627F"/>
    <w:rsid w:val="00C86B91"/>
    <w:rsid w:val="00C8784D"/>
    <w:rsid w:val="00C929F9"/>
    <w:rsid w:val="00CB0DDF"/>
    <w:rsid w:val="00CB5E59"/>
    <w:rsid w:val="00CB75D6"/>
    <w:rsid w:val="00CF2919"/>
    <w:rsid w:val="00D47DC8"/>
    <w:rsid w:val="00D5685F"/>
    <w:rsid w:val="00D62C83"/>
    <w:rsid w:val="00D67716"/>
    <w:rsid w:val="00D70B37"/>
    <w:rsid w:val="00D74CB3"/>
    <w:rsid w:val="00D76232"/>
    <w:rsid w:val="00D82849"/>
    <w:rsid w:val="00DA2634"/>
    <w:rsid w:val="00DC7DB3"/>
    <w:rsid w:val="00DD3F6A"/>
    <w:rsid w:val="00DE39CC"/>
    <w:rsid w:val="00DF34FB"/>
    <w:rsid w:val="00E06308"/>
    <w:rsid w:val="00E11C41"/>
    <w:rsid w:val="00E233F6"/>
    <w:rsid w:val="00E26891"/>
    <w:rsid w:val="00E301F3"/>
    <w:rsid w:val="00E510C6"/>
    <w:rsid w:val="00E573D6"/>
    <w:rsid w:val="00E7136C"/>
    <w:rsid w:val="00E836A3"/>
    <w:rsid w:val="00E92F98"/>
    <w:rsid w:val="00E94262"/>
    <w:rsid w:val="00EA2E13"/>
    <w:rsid w:val="00EB41AB"/>
    <w:rsid w:val="00EC4D69"/>
    <w:rsid w:val="00ED35B2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36C9F"/>
    <w:rsid w:val="00F42C47"/>
    <w:rsid w:val="00F551F7"/>
    <w:rsid w:val="00F70F55"/>
    <w:rsid w:val="00F81669"/>
    <w:rsid w:val="00F83D01"/>
    <w:rsid w:val="00FA4350"/>
    <w:rsid w:val="00FB79AC"/>
    <w:rsid w:val="00FD292E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71334/31/211" TargetMode="External"/><Relationship Id="rId2" Type="http://schemas.openxmlformats.org/officeDocument/2006/relationships/hyperlink" Target="http://lib.eshia.ir/71334/31/211" TargetMode="External"/><Relationship Id="rId1" Type="http://schemas.openxmlformats.org/officeDocument/2006/relationships/hyperlink" Target="http://lib.eshia.ir/71334/31/211" TargetMode="External"/><Relationship Id="rId4" Type="http://schemas.openxmlformats.org/officeDocument/2006/relationships/hyperlink" Target="http://lib.eshia.ir/71334/31/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8E05-9B52-4DB0-BDB8-60F3E694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12</cp:revision>
  <dcterms:created xsi:type="dcterms:W3CDTF">2015-10-08T15:17:00Z</dcterms:created>
  <dcterms:modified xsi:type="dcterms:W3CDTF">2015-11-06T03:19:00Z</dcterms:modified>
</cp:coreProperties>
</file>