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F5F31"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0987677" w:history="1">
        <w:r w:rsidR="005F5F31" w:rsidRPr="009C21EE">
          <w:rPr>
            <w:rStyle w:val="Hyperlink"/>
            <w:noProof/>
            <w:rtl/>
          </w:rPr>
          <w:t>کلام مرحوم گلپا</w:t>
        </w:r>
        <w:r w:rsidR="005F5F31" w:rsidRPr="009C21EE">
          <w:rPr>
            <w:rStyle w:val="Hyperlink"/>
            <w:rFonts w:hint="cs"/>
            <w:noProof/>
            <w:rtl/>
          </w:rPr>
          <w:t>ی</w:t>
        </w:r>
        <w:r w:rsidR="005F5F31" w:rsidRPr="009C21EE">
          <w:rPr>
            <w:rStyle w:val="Hyperlink"/>
            <w:rFonts w:hint="eastAsia"/>
            <w:noProof/>
            <w:rtl/>
          </w:rPr>
          <w:t>گان</w:t>
        </w:r>
        <w:r w:rsidR="005F5F31" w:rsidRPr="009C21EE">
          <w:rPr>
            <w:rStyle w:val="Hyperlink"/>
            <w:rFonts w:hint="cs"/>
            <w:noProof/>
            <w:rtl/>
          </w:rPr>
          <w:t>ی</w:t>
        </w:r>
        <w:r w:rsidR="005F5F31" w:rsidRPr="009C21EE">
          <w:rPr>
            <w:rStyle w:val="Hyperlink"/>
            <w:noProof/>
            <w:rtl/>
          </w:rPr>
          <w:t xml:space="preserve"> در تفس</w:t>
        </w:r>
        <w:r w:rsidR="005F5F31" w:rsidRPr="009C21EE">
          <w:rPr>
            <w:rStyle w:val="Hyperlink"/>
            <w:rFonts w:hint="cs"/>
            <w:noProof/>
            <w:rtl/>
          </w:rPr>
          <w:t>ی</w:t>
        </w:r>
        <w:r w:rsidR="005F5F31" w:rsidRPr="009C21EE">
          <w:rPr>
            <w:rStyle w:val="Hyperlink"/>
            <w:rFonts w:hint="eastAsia"/>
            <w:noProof/>
            <w:rtl/>
          </w:rPr>
          <w:t>ر</w:t>
        </w:r>
        <w:r w:rsidR="005F5F31" w:rsidRPr="009C21EE">
          <w:rPr>
            <w:rStyle w:val="Hyperlink"/>
            <w:noProof/>
            <w:rtl/>
          </w:rPr>
          <w:t xml:space="preserve"> روا</w:t>
        </w:r>
        <w:r w:rsidR="005F5F31" w:rsidRPr="009C21EE">
          <w:rPr>
            <w:rStyle w:val="Hyperlink"/>
            <w:rFonts w:hint="cs"/>
            <w:noProof/>
            <w:rtl/>
          </w:rPr>
          <w:t>ی</w:t>
        </w:r>
        <w:r w:rsidR="005F5F31" w:rsidRPr="009C21EE">
          <w:rPr>
            <w:rStyle w:val="Hyperlink"/>
            <w:rFonts w:hint="eastAsia"/>
            <w:noProof/>
            <w:rtl/>
          </w:rPr>
          <w:t>ت</w:t>
        </w:r>
        <w:r w:rsidR="005F5F31" w:rsidRPr="009C21EE">
          <w:rPr>
            <w:rStyle w:val="Hyperlink"/>
            <w:noProof/>
            <w:rtl/>
          </w:rPr>
          <w:t xml:space="preserve"> عمار بن مروان</w:t>
        </w:r>
        <w:r w:rsidR="005F5F31">
          <w:rPr>
            <w:noProof/>
            <w:webHidden/>
            <w:rtl/>
          </w:rPr>
          <w:tab/>
        </w:r>
        <w:r w:rsidR="005F5F31">
          <w:rPr>
            <w:noProof/>
            <w:webHidden/>
            <w:rtl/>
          </w:rPr>
          <w:fldChar w:fldCharType="begin"/>
        </w:r>
        <w:r w:rsidR="005F5F31">
          <w:rPr>
            <w:noProof/>
            <w:webHidden/>
            <w:rtl/>
          </w:rPr>
          <w:instrText xml:space="preserve"> </w:instrText>
        </w:r>
        <w:r w:rsidR="005F5F31">
          <w:rPr>
            <w:noProof/>
            <w:webHidden/>
          </w:rPr>
          <w:instrText>PAGEREF</w:instrText>
        </w:r>
        <w:r w:rsidR="005F5F31">
          <w:rPr>
            <w:noProof/>
            <w:webHidden/>
            <w:rtl/>
          </w:rPr>
          <w:instrText xml:space="preserve"> _</w:instrText>
        </w:r>
        <w:r w:rsidR="005F5F31">
          <w:rPr>
            <w:noProof/>
            <w:webHidden/>
          </w:rPr>
          <w:instrText>Toc</w:instrText>
        </w:r>
        <w:r w:rsidR="005F5F31">
          <w:rPr>
            <w:noProof/>
            <w:webHidden/>
            <w:rtl/>
          </w:rPr>
          <w:instrText xml:space="preserve">20987677 </w:instrText>
        </w:r>
        <w:r w:rsidR="005F5F31">
          <w:rPr>
            <w:noProof/>
            <w:webHidden/>
          </w:rPr>
          <w:instrText>\h</w:instrText>
        </w:r>
        <w:r w:rsidR="005F5F31">
          <w:rPr>
            <w:noProof/>
            <w:webHidden/>
            <w:rtl/>
          </w:rPr>
          <w:instrText xml:space="preserve"> </w:instrText>
        </w:r>
        <w:r w:rsidR="005F5F31">
          <w:rPr>
            <w:noProof/>
            <w:webHidden/>
            <w:rtl/>
          </w:rPr>
        </w:r>
        <w:r w:rsidR="005F5F31">
          <w:rPr>
            <w:noProof/>
            <w:webHidden/>
            <w:rtl/>
          </w:rPr>
          <w:fldChar w:fldCharType="separate"/>
        </w:r>
        <w:r w:rsidR="00911EE3">
          <w:rPr>
            <w:noProof/>
            <w:webHidden/>
            <w:rtl/>
          </w:rPr>
          <w:t>1</w:t>
        </w:r>
        <w:r w:rsidR="005F5F31">
          <w:rPr>
            <w:noProof/>
            <w:webHidden/>
            <w:rtl/>
          </w:rPr>
          <w:fldChar w:fldCharType="end"/>
        </w:r>
      </w:hyperlink>
    </w:p>
    <w:p w:rsidR="005F5F31" w:rsidRDefault="00911EE3">
      <w:pPr>
        <w:pStyle w:val="TOC2"/>
        <w:tabs>
          <w:tab w:val="right" w:leader="dot" w:pos="10194"/>
        </w:tabs>
        <w:rPr>
          <w:rFonts w:asciiTheme="minorHAnsi" w:eastAsiaTheme="minorEastAsia" w:hAnsiTheme="minorHAnsi" w:cstheme="minorBidi"/>
          <w:bCs w:val="0"/>
          <w:noProof/>
          <w:color w:val="auto"/>
          <w:szCs w:val="22"/>
          <w:rtl/>
          <w:lang w:bidi="ar-SA"/>
        </w:rPr>
      </w:pPr>
      <w:hyperlink w:anchor="_Toc20987678" w:history="1">
        <w:r w:rsidR="005F5F31" w:rsidRPr="009C21EE">
          <w:rPr>
            <w:rStyle w:val="Hyperlink"/>
            <w:noProof/>
            <w:rtl/>
          </w:rPr>
          <w:t>اشکال به کلام مرحوم گلپا</w:t>
        </w:r>
        <w:r w:rsidR="005F5F31" w:rsidRPr="009C21EE">
          <w:rPr>
            <w:rStyle w:val="Hyperlink"/>
            <w:rFonts w:hint="cs"/>
            <w:noProof/>
            <w:rtl/>
          </w:rPr>
          <w:t>ی</w:t>
        </w:r>
        <w:r w:rsidR="005F5F31" w:rsidRPr="009C21EE">
          <w:rPr>
            <w:rStyle w:val="Hyperlink"/>
            <w:rFonts w:hint="eastAsia"/>
            <w:noProof/>
            <w:rtl/>
          </w:rPr>
          <w:t>گان</w:t>
        </w:r>
        <w:r w:rsidR="005F5F31" w:rsidRPr="009C21EE">
          <w:rPr>
            <w:rStyle w:val="Hyperlink"/>
            <w:rFonts w:hint="cs"/>
            <w:noProof/>
            <w:rtl/>
          </w:rPr>
          <w:t>ی</w:t>
        </w:r>
        <w:r w:rsidR="005F5F31">
          <w:rPr>
            <w:noProof/>
            <w:webHidden/>
            <w:rtl/>
          </w:rPr>
          <w:tab/>
        </w:r>
        <w:r w:rsidR="005F5F31">
          <w:rPr>
            <w:noProof/>
            <w:webHidden/>
            <w:rtl/>
          </w:rPr>
          <w:fldChar w:fldCharType="begin"/>
        </w:r>
        <w:r w:rsidR="005F5F31">
          <w:rPr>
            <w:noProof/>
            <w:webHidden/>
            <w:rtl/>
          </w:rPr>
          <w:instrText xml:space="preserve"> </w:instrText>
        </w:r>
        <w:r w:rsidR="005F5F31">
          <w:rPr>
            <w:noProof/>
            <w:webHidden/>
          </w:rPr>
          <w:instrText>PAGEREF</w:instrText>
        </w:r>
        <w:r w:rsidR="005F5F31">
          <w:rPr>
            <w:noProof/>
            <w:webHidden/>
            <w:rtl/>
          </w:rPr>
          <w:instrText xml:space="preserve"> _</w:instrText>
        </w:r>
        <w:r w:rsidR="005F5F31">
          <w:rPr>
            <w:noProof/>
            <w:webHidden/>
          </w:rPr>
          <w:instrText>Toc</w:instrText>
        </w:r>
        <w:r w:rsidR="005F5F31">
          <w:rPr>
            <w:noProof/>
            <w:webHidden/>
            <w:rtl/>
          </w:rPr>
          <w:instrText xml:space="preserve">20987678 </w:instrText>
        </w:r>
        <w:r w:rsidR="005F5F31">
          <w:rPr>
            <w:noProof/>
            <w:webHidden/>
          </w:rPr>
          <w:instrText>\h</w:instrText>
        </w:r>
        <w:r w:rsidR="005F5F31">
          <w:rPr>
            <w:noProof/>
            <w:webHidden/>
            <w:rtl/>
          </w:rPr>
          <w:instrText xml:space="preserve"> </w:instrText>
        </w:r>
        <w:r w:rsidR="005F5F31">
          <w:rPr>
            <w:noProof/>
            <w:webHidden/>
            <w:rtl/>
          </w:rPr>
        </w:r>
        <w:r w:rsidR="005F5F31">
          <w:rPr>
            <w:noProof/>
            <w:webHidden/>
            <w:rtl/>
          </w:rPr>
          <w:fldChar w:fldCharType="separate"/>
        </w:r>
        <w:r>
          <w:rPr>
            <w:noProof/>
            <w:webHidden/>
            <w:rtl/>
          </w:rPr>
          <w:t>1</w:t>
        </w:r>
        <w:r w:rsidR="005F5F31">
          <w:rPr>
            <w:noProof/>
            <w:webHidden/>
            <w:rtl/>
          </w:rPr>
          <w:fldChar w:fldCharType="end"/>
        </w:r>
      </w:hyperlink>
    </w:p>
    <w:p w:rsidR="005F5F31" w:rsidRDefault="00911EE3">
      <w:pPr>
        <w:pStyle w:val="TOC1"/>
        <w:rPr>
          <w:rFonts w:asciiTheme="minorHAnsi" w:eastAsiaTheme="minorEastAsia" w:hAnsiTheme="minorHAnsi" w:cstheme="minorBidi"/>
          <w:noProof/>
          <w:color w:val="auto"/>
          <w:szCs w:val="22"/>
          <w:rtl/>
          <w:lang w:bidi="ar-SA"/>
        </w:rPr>
      </w:pPr>
      <w:hyperlink w:anchor="_Toc20987679" w:history="1">
        <w:r w:rsidR="005F5F31" w:rsidRPr="009C21EE">
          <w:rPr>
            <w:rStyle w:val="Hyperlink"/>
            <w:noProof/>
            <w:rtl/>
          </w:rPr>
          <w:t>ماه</w:t>
        </w:r>
        <w:r w:rsidR="005F5F31" w:rsidRPr="009C21EE">
          <w:rPr>
            <w:rStyle w:val="Hyperlink"/>
            <w:rFonts w:hint="cs"/>
            <w:noProof/>
            <w:rtl/>
          </w:rPr>
          <w:t>ی</w:t>
        </w:r>
        <w:r w:rsidR="005F5F31" w:rsidRPr="009C21EE">
          <w:rPr>
            <w:rStyle w:val="Hyperlink"/>
            <w:rFonts w:hint="eastAsia"/>
            <w:noProof/>
            <w:rtl/>
          </w:rPr>
          <w:t>ت</w:t>
        </w:r>
        <w:r w:rsidR="005F5F31" w:rsidRPr="009C21EE">
          <w:rPr>
            <w:rStyle w:val="Hyperlink"/>
            <w:noProof/>
            <w:rtl/>
          </w:rPr>
          <w:t xml:space="preserve"> اجرت بر قضا و تفاوت آن با رزق و رشوه</w:t>
        </w:r>
        <w:r w:rsidR="005F5F31">
          <w:rPr>
            <w:noProof/>
            <w:webHidden/>
            <w:rtl/>
          </w:rPr>
          <w:tab/>
        </w:r>
        <w:r w:rsidR="005F5F31">
          <w:rPr>
            <w:noProof/>
            <w:webHidden/>
            <w:rtl/>
          </w:rPr>
          <w:fldChar w:fldCharType="begin"/>
        </w:r>
        <w:r w:rsidR="005F5F31">
          <w:rPr>
            <w:noProof/>
            <w:webHidden/>
            <w:rtl/>
          </w:rPr>
          <w:instrText xml:space="preserve"> </w:instrText>
        </w:r>
        <w:r w:rsidR="005F5F31">
          <w:rPr>
            <w:noProof/>
            <w:webHidden/>
          </w:rPr>
          <w:instrText>PAGEREF</w:instrText>
        </w:r>
        <w:r w:rsidR="005F5F31">
          <w:rPr>
            <w:noProof/>
            <w:webHidden/>
            <w:rtl/>
          </w:rPr>
          <w:instrText xml:space="preserve"> _</w:instrText>
        </w:r>
        <w:r w:rsidR="005F5F31">
          <w:rPr>
            <w:noProof/>
            <w:webHidden/>
          </w:rPr>
          <w:instrText>Toc</w:instrText>
        </w:r>
        <w:r w:rsidR="005F5F31">
          <w:rPr>
            <w:noProof/>
            <w:webHidden/>
            <w:rtl/>
          </w:rPr>
          <w:instrText xml:space="preserve">20987679 </w:instrText>
        </w:r>
        <w:r w:rsidR="005F5F31">
          <w:rPr>
            <w:noProof/>
            <w:webHidden/>
          </w:rPr>
          <w:instrText>\h</w:instrText>
        </w:r>
        <w:r w:rsidR="005F5F31">
          <w:rPr>
            <w:noProof/>
            <w:webHidden/>
            <w:rtl/>
          </w:rPr>
          <w:instrText xml:space="preserve"> </w:instrText>
        </w:r>
        <w:r w:rsidR="005F5F31">
          <w:rPr>
            <w:noProof/>
            <w:webHidden/>
            <w:rtl/>
          </w:rPr>
        </w:r>
        <w:r w:rsidR="005F5F31">
          <w:rPr>
            <w:noProof/>
            <w:webHidden/>
            <w:rtl/>
          </w:rPr>
          <w:fldChar w:fldCharType="separate"/>
        </w:r>
        <w:r>
          <w:rPr>
            <w:noProof/>
            <w:webHidden/>
            <w:rtl/>
          </w:rPr>
          <w:t>2</w:t>
        </w:r>
        <w:r w:rsidR="005F5F31">
          <w:rPr>
            <w:noProof/>
            <w:webHidden/>
            <w:rtl/>
          </w:rPr>
          <w:fldChar w:fldCharType="end"/>
        </w:r>
      </w:hyperlink>
    </w:p>
    <w:p w:rsidR="005F5F31" w:rsidRDefault="00911EE3">
      <w:pPr>
        <w:pStyle w:val="TOC1"/>
        <w:rPr>
          <w:rFonts w:asciiTheme="minorHAnsi" w:eastAsiaTheme="minorEastAsia" w:hAnsiTheme="minorHAnsi" w:cstheme="minorBidi"/>
          <w:noProof/>
          <w:color w:val="auto"/>
          <w:szCs w:val="22"/>
          <w:rtl/>
          <w:lang w:bidi="ar-SA"/>
        </w:rPr>
      </w:pPr>
      <w:hyperlink w:anchor="_Toc20987680" w:history="1">
        <w:r w:rsidR="005F5F31" w:rsidRPr="009C21EE">
          <w:rPr>
            <w:rStyle w:val="Hyperlink"/>
            <w:noProof/>
            <w:rtl/>
          </w:rPr>
          <w:t>أخذ اجرت بر کتابت قضا</w:t>
        </w:r>
        <w:r w:rsidR="005F5F31">
          <w:rPr>
            <w:noProof/>
            <w:webHidden/>
            <w:rtl/>
          </w:rPr>
          <w:tab/>
        </w:r>
        <w:r w:rsidR="005F5F31">
          <w:rPr>
            <w:noProof/>
            <w:webHidden/>
            <w:rtl/>
          </w:rPr>
          <w:fldChar w:fldCharType="begin"/>
        </w:r>
        <w:r w:rsidR="005F5F31">
          <w:rPr>
            <w:noProof/>
            <w:webHidden/>
            <w:rtl/>
          </w:rPr>
          <w:instrText xml:space="preserve"> </w:instrText>
        </w:r>
        <w:r w:rsidR="005F5F31">
          <w:rPr>
            <w:noProof/>
            <w:webHidden/>
          </w:rPr>
          <w:instrText>PAGEREF</w:instrText>
        </w:r>
        <w:r w:rsidR="005F5F31">
          <w:rPr>
            <w:noProof/>
            <w:webHidden/>
            <w:rtl/>
          </w:rPr>
          <w:instrText xml:space="preserve"> _</w:instrText>
        </w:r>
        <w:r w:rsidR="005F5F31">
          <w:rPr>
            <w:noProof/>
            <w:webHidden/>
          </w:rPr>
          <w:instrText>Toc</w:instrText>
        </w:r>
        <w:r w:rsidR="005F5F31">
          <w:rPr>
            <w:noProof/>
            <w:webHidden/>
            <w:rtl/>
          </w:rPr>
          <w:instrText xml:space="preserve">20987680 </w:instrText>
        </w:r>
        <w:r w:rsidR="005F5F31">
          <w:rPr>
            <w:noProof/>
            <w:webHidden/>
          </w:rPr>
          <w:instrText>\h</w:instrText>
        </w:r>
        <w:r w:rsidR="005F5F31">
          <w:rPr>
            <w:noProof/>
            <w:webHidden/>
            <w:rtl/>
          </w:rPr>
          <w:instrText xml:space="preserve"> </w:instrText>
        </w:r>
        <w:r w:rsidR="005F5F31">
          <w:rPr>
            <w:noProof/>
            <w:webHidden/>
            <w:rtl/>
          </w:rPr>
        </w:r>
        <w:r w:rsidR="005F5F31">
          <w:rPr>
            <w:noProof/>
            <w:webHidden/>
            <w:rtl/>
          </w:rPr>
          <w:fldChar w:fldCharType="separate"/>
        </w:r>
        <w:r>
          <w:rPr>
            <w:noProof/>
            <w:webHidden/>
            <w:rtl/>
          </w:rPr>
          <w:t>3</w:t>
        </w:r>
        <w:r w:rsidR="005F5F31">
          <w:rPr>
            <w:noProof/>
            <w:webHidden/>
            <w:rtl/>
          </w:rPr>
          <w:fldChar w:fldCharType="end"/>
        </w:r>
      </w:hyperlink>
    </w:p>
    <w:p w:rsidR="005F5F31" w:rsidRDefault="00911EE3">
      <w:pPr>
        <w:pStyle w:val="TOC1"/>
        <w:rPr>
          <w:rFonts w:asciiTheme="minorHAnsi" w:eastAsiaTheme="minorEastAsia" w:hAnsiTheme="minorHAnsi" w:cstheme="minorBidi"/>
          <w:noProof/>
          <w:color w:val="auto"/>
          <w:szCs w:val="22"/>
          <w:rtl/>
          <w:lang w:bidi="ar-SA"/>
        </w:rPr>
      </w:pPr>
      <w:hyperlink w:anchor="_Toc20987681" w:history="1">
        <w:r w:rsidR="005F5F31" w:rsidRPr="009C21EE">
          <w:rPr>
            <w:rStyle w:val="Hyperlink"/>
            <w:noProof/>
            <w:rtl/>
          </w:rPr>
          <w:t>اخذ اجرت بر مقدمات قضا</w:t>
        </w:r>
        <w:r w:rsidR="005F5F31">
          <w:rPr>
            <w:noProof/>
            <w:webHidden/>
            <w:rtl/>
          </w:rPr>
          <w:tab/>
        </w:r>
        <w:r w:rsidR="005F5F31">
          <w:rPr>
            <w:noProof/>
            <w:webHidden/>
            <w:rtl/>
          </w:rPr>
          <w:fldChar w:fldCharType="begin"/>
        </w:r>
        <w:r w:rsidR="005F5F31">
          <w:rPr>
            <w:noProof/>
            <w:webHidden/>
            <w:rtl/>
          </w:rPr>
          <w:instrText xml:space="preserve"> </w:instrText>
        </w:r>
        <w:r w:rsidR="005F5F31">
          <w:rPr>
            <w:noProof/>
            <w:webHidden/>
          </w:rPr>
          <w:instrText>PAGEREF</w:instrText>
        </w:r>
        <w:r w:rsidR="005F5F31">
          <w:rPr>
            <w:noProof/>
            <w:webHidden/>
            <w:rtl/>
          </w:rPr>
          <w:instrText xml:space="preserve"> _</w:instrText>
        </w:r>
        <w:r w:rsidR="005F5F31">
          <w:rPr>
            <w:noProof/>
            <w:webHidden/>
          </w:rPr>
          <w:instrText>Toc</w:instrText>
        </w:r>
        <w:r w:rsidR="005F5F31">
          <w:rPr>
            <w:noProof/>
            <w:webHidden/>
            <w:rtl/>
          </w:rPr>
          <w:instrText xml:space="preserve">20987681 </w:instrText>
        </w:r>
        <w:r w:rsidR="005F5F31">
          <w:rPr>
            <w:noProof/>
            <w:webHidden/>
          </w:rPr>
          <w:instrText>\h</w:instrText>
        </w:r>
        <w:r w:rsidR="005F5F31">
          <w:rPr>
            <w:noProof/>
            <w:webHidden/>
            <w:rtl/>
          </w:rPr>
          <w:instrText xml:space="preserve"> </w:instrText>
        </w:r>
        <w:r w:rsidR="005F5F31">
          <w:rPr>
            <w:noProof/>
            <w:webHidden/>
            <w:rtl/>
          </w:rPr>
        </w:r>
        <w:r w:rsidR="005F5F31">
          <w:rPr>
            <w:noProof/>
            <w:webHidden/>
            <w:rtl/>
          </w:rPr>
          <w:fldChar w:fldCharType="separate"/>
        </w:r>
        <w:r>
          <w:rPr>
            <w:noProof/>
            <w:webHidden/>
            <w:rtl/>
          </w:rPr>
          <w:t>3</w:t>
        </w:r>
        <w:r w:rsidR="005F5F31">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04292">
        <w:rPr>
          <w:rFonts w:hint="cs"/>
          <w:rtl/>
        </w:rPr>
        <w:t>احکام</w:t>
      </w:r>
      <w:r w:rsidR="00104292">
        <w:rPr>
          <w:rtl/>
        </w:rPr>
        <w:t xml:space="preserve"> </w:t>
      </w:r>
      <w:r w:rsidR="00104292">
        <w:rPr>
          <w:rFonts w:hint="cs"/>
          <w:rtl/>
        </w:rPr>
        <w:t>القضا</w:t>
      </w:r>
      <w:r w:rsidR="00025B70">
        <w:rPr>
          <w:rFonts w:hint="cs"/>
          <w:rtl/>
        </w:rPr>
        <w:t xml:space="preserve"> </w:t>
      </w:r>
      <w:r w:rsidR="00386C11" w:rsidRPr="00A6366F">
        <w:rPr>
          <w:rFonts w:hint="cs"/>
          <w:rtl/>
        </w:rPr>
        <w:t>/</w:t>
      </w:r>
      <w:bookmarkStart w:id="1" w:name="BokSabj_d"/>
      <w:bookmarkEnd w:id="1"/>
      <w:r w:rsidR="00104292">
        <w:rPr>
          <w:rFonts w:hint="cs"/>
          <w:rtl/>
        </w:rPr>
        <w:t>القضا</w:t>
      </w:r>
      <w:r w:rsidR="00386C11" w:rsidRPr="00A6366F">
        <w:rPr>
          <w:rFonts w:hint="cs"/>
          <w:rtl/>
        </w:rPr>
        <w:t xml:space="preserve"> /</w:t>
      </w:r>
      <w:bookmarkStart w:id="2" w:name="Bokkolli"/>
      <w:bookmarkEnd w:id="2"/>
      <w:r w:rsidR="00104292">
        <w:rPr>
          <w:rFonts w:hint="cs"/>
          <w:rtl/>
        </w:rPr>
        <w:t>کتاب</w:t>
      </w:r>
      <w:r w:rsidR="00104292">
        <w:rPr>
          <w:rtl/>
        </w:rPr>
        <w:t xml:space="preserve"> </w:t>
      </w:r>
      <w:r w:rsidR="00104292">
        <w:rPr>
          <w:rFonts w:hint="cs"/>
          <w:rtl/>
        </w:rPr>
        <w:t>القضا</w:t>
      </w:r>
      <w:r w:rsidR="001B6799" w:rsidRPr="00A6366F">
        <w:rPr>
          <w:rFonts w:hint="cs"/>
          <w:rtl/>
        </w:rPr>
        <w:t xml:space="preserve"> </w:t>
      </w:r>
    </w:p>
    <w:p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rsidR="000A249B" w:rsidRPr="00880027" w:rsidRDefault="000A249B" w:rsidP="00CD6BFB">
      <w:pPr>
        <w:jc w:val="both"/>
        <w:rPr>
          <w:rtl/>
        </w:rPr>
      </w:pPr>
      <w:r w:rsidRPr="00880027">
        <w:rPr>
          <w:rFonts w:hint="cs"/>
          <w:rtl/>
        </w:rPr>
        <w:t xml:space="preserve">بحث در بیان حقیقت اجرت در قضا بود که گفتیم معنای اجرت این است که اجرت عبارت از عوض است </w:t>
      </w:r>
      <w:r w:rsidR="00CD6BFB">
        <w:rPr>
          <w:rFonts w:hint="cs"/>
          <w:rtl/>
        </w:rPr>
        <w:t>و</w:t>
      </w:r>
      <w:r w:rsidRPr="00880027">
        <w:rPr>
          <w:rFonts w:hint="cs"/>
          <w:rtl/>
        </w:rPr>
        <w:t xml:space="preserve"> با رزق  و رشوه تفاوت دارد.</w:t>
      </w:r>
    </w:p>
    <w:p w:rsidR="000A249B" w:rsidRPr="00880027" w:rsidRDefault="000A249B" w:rsidP="000A249B">
      <w:pPr>
        <w:pStyle w:val="Heading1"/>
        <w:rPr>
          <w:rtl/>
        </w:rPr>
      </w:pPr>
      <w:bookmarkStart w:id="4" w:name="_Toc20987677"/>
      <w:r w:rsidRPr="00880027">
        <w:rPr>
          <w:rFonts w:hint="cs"/>
          <w:rtl/>
        </w:rPr>
        <w:t>کلام مرحوم گلپایگانی در تفسیر روایت عمار بن مروان</w:t>
      </w:r>
      <w:bookmarkEnd w:id="4"/>
      <w:r w:rsidRPr="00880027">
        <w:rPr>
          <w:rFonts w:hint="cs"/>
          <w:rtl/>
        </w:rPr>
        <w:t xml:space="preserve"> </w:t>
      </w:r>
    </w:p>
    <w:p w:rsidR="000A249B" w:rsidRPr="00880027" w:rsidRDefault="000A249B" w:rsidP="00B47379">
      <w:pPr>
        <w:jc w:val="both"/>
        <w:rPr>
          <w:rtl/>
        </w:rPr>
      </w:pPr>
      <w:r w:rsidRPr="00880027">
        <w:rPr>
          <w:rFonts w:hint="cs"/>
          <w:rtl/>
        </w:rPr>
        <w:t>ایشان فرموده</w:t>
      </w:r>
      <w:r>
        <w:rPr>
          <w:rStyle w:val="FootnoteReference"/>
          <w:rtl/>
        </w:rPr>
        <w:footnoteReference w:id="1"/>
      </w:r>
      <w:r w:rsidRPr="00880027">
        <w:rPr>
          <w:rFonts w:hint="cs"/>
          <w:rtl/>
        </w:rPr>
        <w:t xml:space="preserve"> است اینکه مرحوم خوئی عبارت «</w:t>
      </w:r>
      <w:r w:rsidRPr="00880027">
        <w:rPr>
          <w:rFonts w:ascii="Tahoma" w:hAnsi="Tahoma"/>
          <w:shd w:val="clear" w:color="auto" w:fill="FFFFFF"/>
          <w:rtl/>
        </w:rPr>
        <w:t xml:space="preserve"> </w:t>
      </w:r>
      <w:r w:rsidRPr="000A249B">
        <w:rPr>
          <w:rFonts w:ascii="Tahoma" w:hAnsi="Tahoma"/>
          <w:color w:val="008000"/>
          <w:shd w:val="clear" w:color="auto" w:fill="FFFFFF"/>
          <w:rtl/>
        </w:rPr>
        <w:t>مِنْهَا أُجُورُ الْقُضَاةِ</w:t>
      </w:r>
      <w:r w:rsidRPr="00880027">
        <w:rPr>
          <w:rFonts w:ascii="Tahoma" w:hAnsi="Tahoma"/>
          <w:shd w:val="clear" w:color="auto" w:fill="FFFFFF"/>
          <w:rtl/>
        </w:rPr>
        <w:t xml:space="preserve"> </w:t>
      </w:r>
      <w:r w:rsidRPr="00880027">
        <w:rPr>
          <w:rFonts w:hint="cs"/>
          <w:rtl/>
        </w:rPr>
        <w:t>» را از انواع سحت محسوب نکردند بلکه از مصادیق اموال ظلمه به حساب آوردند، صحیح نیست زیرا اگر مراد روایت این بود که مرحوم خوئی می فرماید باید ضمیر در این فقره از روایت مذکر می آمد یعنی «</w:t>
      </w:r>
      <w:r w:rsidR="00CD6BFB">
        <w:rPr>
          <w:rFonts w:ascii="Tahoma" w:hAnsi="Tahoma" w:hint="cs"/>
          <w:shd w:val="clear" w:color="auto" w:fill="FFFFFF"/>
          <w:rtl/>
        </w:rPr>
        <w:t>م</w:t>
      </w:r>
      <w:r w:rsidRPr="000A249B">
        <w:rPr>
          <w:rtl/>
        </w:rPr>
        <w:t>ِنْه</w:t>
      </w:r>
      <w:r w:rsidRPr="000A249B">
        <w:rPr>
          <w:rFonts w:hint="cs"/>
          <w:rtl/>
        </w:rPr>
        <w:t>ُ</w:t>
      </w:r>
      <w:r w:rsidRPr="000A249B">
        <w:rPr>
          <w:rtl/>
        </w:rPr>
        <w:t xml:space="preserve"> أُجُورُ الْقُضَاةِ</w:t>
      </w:r>
      <w:r w:rsidRPr="00880027">
        <w:rPr>
          <w:rFonts w:hint="cs"/>
          <w:rtl/>
        </w:rPr>
        <w:t>» چون مرجع ضمیر طبق تفسیر مرحوم خوئی«</w:t>
      </w:r>
      <w:r w:rsidRPr="00880027">
        <w:rPr>
          <w:rFonts w:ascii="Tahoma" w:hAnsi="Tahoma"/>
          <w:shd w:val="clear" w:color="auto" w:fill="FFFFFF"/>
          <w:rtl/>
        </w:rPr>
        <w:t xml:space="preserve"> </w:t>
      </w:r>
      <w:r w:rsidRPr="000A249B">
        <w:rPr>
          <w:rFonts w:ascii="Tahoma" w:hAnsi="Tahoma"/>
          <w:color w:val="008000"/>
          <w:shd w:val="clear" w:color="auto" w:fill="FFFFFF"/>
          <w:rtl/>
        </w:rPr>
        <w:t>مَا أُصِيبَ مِنْ أَعْمَالِ الْوُلَاةِ الظَّلَمَةِ</w:t>
      </w:r>
      <w:r w:rsidRPr="00880027">
        <w:rPr>
          <w:rFonts w:hint="cs"/>
          <w:rtl/>
        </w:rPr>
        <w:t>» است. د</w:t>
      </w:r>
      <w:r w:rsidR="00B47379">
        <w:rPr>
          <w:rFonts w:hint="cs"/>
          <w:rtl/>
        </w:rPr>
        <w:t>ر نتیجه مرجع ضمیر، انواع است که</w:t>
      </w:r>
      <w:r w:rsidRPr="00880027">
        <w:rPr>
          <w:rFonts w:hint="cs"/>
          <w:rtl/>
        </w:rPr>
        <w:t xml:space="preserve"> به صورت مؤنث آمده است.</w:t>
      </w:r>
    </w:p>
    <w:p w:rsidR="000A249B" w:rsidRPr="00880027" w:rsidRDefault="000A249B" w:rsidP="000A249B">
      <w:pPr>
        <w:pStyle w:val="Heading2"/>
        <w:rPr>
          <w:rtl/>
        </w:rPr>
      </w:pPr>
      <w:bookmarkStart w:id="5" w:name="_Toc20987678"/>
      <w:r w:rsidRPr="00880027">
        <w:rPr>
          <w:rFonts w:hint="cs"/>
          <w:rtl/>
        </w:rPr>
        <w:t>اشکال به کلام مرحوم گلپایگانی</w:t>
      </w:r>
      <w:bookmarkEnd w:id="5"/>
    </w:p>
    <w:p w:rsidR="000A249B" w:rsidRPr="00880027" w:rsidRDefault="000A249B" w:rsidP="000A249B">
      <w:pPr>
        <w:jc w:val="both"/>
        <w:rPr>
          <w:rtl/>
        </w:rPr>
      </w:pPr>
      <w:r w:rsidRPr="000A249B">
        <w:rPr>
          <w:rFonts w:hint="cs"/>
          <w:highlight w:val="yellow"/>
          <w:rtl/>
        </w:rPr>
        <w:t xml:space="preserve">این اشکال </w:t>
      </w:r>
      <w:r w:rsidRPr="00880027">
        <w:rPr>
          <w:rFonts w:hint="cs"/>
          <w:rtl/>
        </w:rPr>
        <w:t>از ایشان بعید است زیرا درست است که موصول در عبارت «</w:t>
      </w:r>
      <w:r w:rsidRPr="00880027">
        <w:rPr>
          <w:rFonts w:ascii="Tahoma" w:hAnsi="Tahoma"/>
          <w:shd w:val="clear" w:color="auto" w:fill="FFFFFF"/>
          <w:rtl/>
        </w:rPr>
        <w:t xml:space="preserve"> </w:t>
      </w:r>
      <w:r w:rsidRPr="000A249B">
        <w:rPr>
          <w:rFonts w:ascii="Tahoma" w:hAnsi="Tahoma"/>
          <w:color w:val="008000"/>
          <w:shd w:val="clear" w:color="auto" w:fill="FFFFFF"/>
          <w:rtl/>
        </w:rPr>
        <w:t>مَا أُصِيبَ مِنْ أَعْمَالِ الْوُلَاةِ الظَّلَمَةِ</w:t>
      </w:r>
      <w:r w:rsidRPr="00880027">
        <w:rPr>
          <w:rFonts w:ascii="Tahoma" w:hAnsi="Tahoma"/>
          <w:shd w:val="clear" w:color="auto" w:fill="FFFFFF"/>
          <w:rtl/>
        </w:rPr>
        <w:t xml:space="preserve"> </w:t>
      </w:r>
      <w:r w:rsidRPr="00880027">
        <w:rPr>
          <w:rFonts w:hint="cs"/>
          <w:rtl/>
        </w:rPr>
        <w:t>» لفظا مذکر است اما از قبیل اسم جمع است به لحاظ موارد است و مراد از آن «کلما أصیب» است. اگر در روایت به جای عبارت «</w:t>
      </w:r>
      <w:r w:rsidRPr="00431339">
        <w:rPr>
          <w:rFonts w:hint="cs"/>
          <w:color w:val="008000"/>
          <w:rtl/>
        </w:rPr>
        <w:t>ما أصیب</w:t>
      </w:r>
      <w:r w:rsidRPr="00880027">
        <w:rPr>
          <w:rFonts w:hint="cs"/>
          <w:rtl/>
        </w:rPr>
        <w:t>» تعبیر «کلما أصیب» آمده بود می گفتید ضمیر باید مؤنث باشد حال که«</w:t>
      </w:r>
      <w:r w:rsidRPr="00431339">
        <w:rPr>
          <w:rFonts w:hint="cs"/>
          <w:color w:val="008000"/>
          <w:rtl/>
        </w:rPr>
        <w:t>ما أصیب</w:t>
      </w:r>
      <w:r w:rsidRPr="00880027">
        <w:rPr>
          <w:rFonts w:hint="cs"/>
          <w:rtl/>
        </w:rPr>
        <w:t>» در معنی مؤنث است هم همین طور. پس این اشکال وارد نیست.</w:t>
      </w:r>
    </w:p>
    <w:p w:rsidR="000A249B" w:rsidRPr="00880027" w:rsidRDefault="000A249B" w:rsidP="000A249B">
      <w:pPr>
        <w:pStyle w:val="Heading1"/>
        <w:rPr>
          <w:rtl/>
        </w:rPr>
      </w:pPr>
      <w:bookmarkStart w:id="6" w:name="_Toc20987679"/>
      <w:r w:rsidRPr="00880027">
        <w:rPr>
          <w:rFonts w:hint="cs"/>
          <w:rtl/>
        </w:rPr>
        <w:lastRenderedPageBreak/>
        <w:t>ماهیت اجرت بر قضا</w:t>
      </w:r>
      <w:r w:rsidR="001F6373">
        <w:rPr>
          <w:rFonts w:hint="cs"/>
          <w:rtl/>
        </w:rPr>
        <w:t xml:space="preserve"> و تفاوت آن با رزق و رشوه</w:t>
      </w:r>
      <w:bookmarkEnd w:id="6"/>
    </w:p>
    <w:p w:rsidR="002D14C3" w:rsidRDefault="000A249B" w:rsidP="002D14C3">
      <w:pPr>
        <w:jc w:val="both"/>
        <w:rPr>
          <w:rtl/>
        </w:rPr>
      </w:pPr>
      <w:r w:rsidRPr="00880027">
        <w:rPr>
          <w:rFonts w:hint="cs"/>
          <w:rtl/>
        </w:rPr>
        <w:t>مراد از اجرت بر قضا،</w:t>
      </w:r>
      <w:r w:rsidR="002D14C3">
        <w:rPr>
          <w:rFonts w:hint="cs"/>
          <w:rtl/>
        </w:rPr>
        <w:t xml:space="preserve"> </w:t>
      </w:r>
      <w:r w:rsidRPr="00880027">
        <w:rPr>
          <w:rFonts w:hint="cs"/>
          <w:rtl/>
        </w:rPr>
        <w:t>اجرت بر قضای به حق است. اینکه بحث می کنیم اجرت بر قضا جای</w:t>
      </w:r>
      <w:r w:rsidR="002D14C3">
        <w:rPr>
          <w:rFonts w:hint="cs"/>
          <w:rtl/>
        </w:rPr>
        <w:t>ز است یا نه مراد اجرت بر قضای به</w:t>
      </w:r>
      <w:r w:rsidRPr="00880027">
        <w:rPr>
          <w:rFonts w:hint="cs"/>
          <w:rtl/>
        </w:rPr>
        <w:t xml:space="preserve"> حق است ولی اجرت بر قضای به باطل و حرام</w:t>
      </w:r>
      <w:r w:rsidR="002D14C3">
        <w:rPr>
          <w:rFonts w:hint="cs"/>
          <w:rtl/>
        </w:rPr>
        <w:t>،</w:t>
      </w:r>
      <w:r w:rsidRPr="00880027">
        <w:rPr>
          <w:rFonts w:hint="cs"/>
          <w:rtl/>
        </w:rPr>
        <w:t xml:space="preserve"> شکی در حرمتش وجود ندارد. گفتیم اجرت عبارت است از عوض. بر این اساس گفتیم تفاوت اجرت با رزق روشن است زیرا رزق مأخوذ است اما نه به عنو</w:t>
      </w:r>
      <w:r w:rsidR="002D14C3">
        <w:rPr>
          <w:rFonts w:hint="cs"/>
          <w:rtl/>
        </w:rPr>
        <w:t>ان اجر و عوض بلکه به عنوان هدیه،</w:t>
      </w:r>
      <w:r w:rsidRPr="00880027">
        <w:rPr>
          <w:rFonts w:hint="cs"/>
          <w:rtl/>
        </w:rPr>
        <w:t xml:space="preserve"> حتی اگر در ضمن عقدی </w:t>
      </w:r>
      <w:r w:rsidR="002D14C3">
        <w:rPr>
          <w:rFonts w:hint="cs"/>
          <w:rtl/>
        </w:rPr>
        <w:t>این هدیه و رزق شرط شده باشد،</w:t>
      </w:r>
      <w:r w:rsidRPr="00880027">
        <w:rPr>
          <w:rFonts w:hint="cs"/>
          <w:rtl/>
        </w:rPr>
        <w:t xml:space="preserve"> </w:t>
      </w:r>
      <w:r w:rsidR="002D14C3">
        <w:rPr>
          <w:rFonts w:hint="cs"/>
          <w:rtl/>
        </w:rPr>
        <w:t>در این صورت</w:t>
      </w:r>
      <w:r w:rsidRPr="00880027">
        <w:rPr>
          <w:rFonts w:hint="cs"/>
          <w:rtl/>
        </w:rPr>
        <w:t xml:space="preserve"> رزق مشروط به قضاس</w:t>
      </w:r>
      <w:r w:rsidR="002D14C3">
        <w:rPr>
          <w:rFonts w:hint="cs"/>
          <w:rtl/>
        </w:rPr>
        <w:t>ت اما</w:t>
      </w:r>
      <w:r w:rsidRPr="00880027">
        <w:rPr>
          <w:rFonts w:hint="cs"/>
          <w:rtl/>
        </w:rPr>
        <w:t xml:space="preserve"> این اجر نیست. مثل هبه‌ی معوضه که معاوضه نیست. فرق معاوضه و </w:t>
      </w:r>
      <w:r w:rsidR="002D14C3">
        <w:rPr>
          <w:rFonts w:hint="cs"/>
          <w:rtl/>
        </w:rPr>
        <w:t>غیر معاوضه این است که در معاوضه</w:t>
      </w:r>
      <w:r w:rsidRPr="00880027">
        <w:rPr>
          <w:rFonts w:hint="cs"/>
          <w:rtl/>
        </w:rPr>
        <w:t xml:space="preserve"> عوضین خود کالاها است و کالا در مقابل کالاست ولی در هبه فعل در مقابل فعل است </w:t>
      </w:r>
      <w:r w:rsidR="002D14C3">
        <w:rPr>
          <w:rFonts w:hint="cs"/>
          <w:rtl/>
        </w:rPr>
        <w:t xml:space="preserve">(هبه در مقابل هبه)، </w:t>
      </w:r>
      <w:r w:rsidRPr="00880027">
        <w:rPr>
          <w:rFonts w:hint="cs"/>
          <w:rtl/>
        </w:rPr>
        <w:t xml:space="preserve">نه کالا در مقابل کالا. رزق ممکن است در ضمن عقد باشد و یا ایقاع. اگر </w:t>
      </w:r>
      <w:r w:rsidR="002D14C3">
        <w:rPr>
          <w:rFonts w:hint="cs"/>
          <w:rtl/>
        </w:rPr>
        <w:t xml:space="preserve">رزق به صورت </w:t>
      </w:r>
      <w:r w:rsidRPr="00880027">
        <w:rPr>
          <w:rFonts w:hint="cs"/>
          <w:rtl/>
        </w:rPr>
        <w:t xml:space="preserve">هبه باشد عقد است </w:t>
      </w:r>
      <w:r w:rsidR="002D14C3">
        <w:rPr>
          <w:rFonts w:hint="cs"/>
          <w:rtl/>
        </w:rPr>
        <w:t>و اگر</w:t>
      </w:r>
      <w:r w:rsidRPr="00880027">
        <w:rPr>
          <w:rFonts w:hint="cs"/>
          <w:rtl/>
        </w:rPr>
        <w:t xml:space="preserve"> </w:t>
      </w:r>
      <w:r w:rsidR="002D14C3">
        <w:rPr>
          <w:rFonts w:hint="cs"/>
          <w:rtl/>
        </w:rPr>
        <w:t xml:space="preserve">به صورت </w:t>
      </w:r>
      <w:r w:rsidRPr="00880027">
        <w:rPr>
          <w:rFonts w:hint="cs"/>
          <w:rtl/>
        </w:rPr>
        <w:t>بذل باشد (مثل اباحه در تصرف)</w:t>
      </w:r>
      <w:r w:rsidR="002D14C3">
        <w:rPr>
          <w:rFonts w:hint="cs"/>
          <w:rtl/>
        </w:rPr>
        <w:t xml:space="preserve"> </w:t>
      </w:r>
      <w:r w:rsidRPr="00880027">
        <w:rPr>
          <w:rFonts w:hint="cs"/>
          <w:rtl/>
        </w:rPr>
        <w:t>ایقاع است</w:t>
      </w:r>
      <w:r w:rsidR="002D14C3">
        <w:rPr>
          <w:rFonts w:hint="cs"/>
          <w:rtl/>
        </w:rPr>
        <w:t>.</w:t>
      </w:r>
      <w:r w:rsidRPr="00880027">
        <w:rPr>
          <w:rFonts w:hint="cs"/>
          <w:rtl/>
        </w:rPr>
        <w:t xml:space="preserve"> یعنی اگر پول را از بیت المال به او بخشیدند این هبه و عقد است ولی اگر اباحه تصرف کردند این ایقاع است و</w:t>
      </w:r>
      <w:r w:rsidR="002D14C3">
        <w:rPr>
          <w:rFonts w:hint="cs"/>
          <w:rtl/>
        </w:rPr>
        <w:t xml:space="preserve"> هیچ کدام</w:t>
      </w:r>
      <w:r w:rsidRPr="00880027">
        <w:rPr>
          <w:rFonts w:hint="cs"/>
          <w:rtl/>
        </w:rPr>
        <w:t xml:space="preserve"> اجر محسوب نمی شود چون عوض نیست حتی اگر شرط قضاوت هم شده باشد. </w:t>
      </w:r>
      <w:r w:rsidR="002D14C3">
        <w:rPr>
          <w:rFonts w:hint="cs"/>
          <w:rtl/>
        </w:rPr>
        <w:t>البته</w:t>
      </w:r>
      <w:r w:rsidRPr="00880027">
        <w:rPr>
          <w:rFonts w:hint="cs"/>
          <w:rtl/>
        </w:rPr>
        <w:t xml:space="preserve"> در صورتی که شرط قضاوت کند دو وجوب به عهده‌ی اوس</w:t>
      </w:r>
      <w:r w:rsidR="002D14C3">
        <w:rPr>
          <w:rFonts w:hint="cs"/>
          <w:rtl/>
        </w:rPr>
        <w:t>ت یکی اصل قضا که واجب کفای</w:t>
      </w:r>
      <w:r w:rsidRPr="00880027">
        <w:rPr>
          <w:rFonts w:hint="cs"/>
          <w:rtl/>
        </w:rPr>
        <w:t>ی بوده است و دیگری وجوبی که از ناحیه‌ی وفا</w:t>
      </w:r>
      <w:r w:rsidR="002D14C3">
        <w:rPr>
          <w:rFonts w:hint="cs"/>
          <w:rtl/>
        </w:rPr>
        <w:t>ی</w:t>
      </w:r>
      <w:r w:rsidRPr="00880027">
        <w:rPr>
          <w:rFonts w:hint="cs"/>
          <w:rtl/>
        </w:rPr>
        <w:t xml:space="preserve"> به شرط آمده است. پس بحث ما اجر علی القضا است که حقیقتش مباین با رزق است چون در رزق، عوض نداریم حتی در جایی که قاضی به خاطر شرط</w:t>
      </w:r>
      <w:r w:rsidR="002D14C3">
        <w:rPr>
          <w:rFonts w:hint="cs"/>
          <w:rtl/>
        </w:rPr>
        <w:t>، ملزم به انجام کار باشد.</w:t>
      </w:r>
    </w:p>
    <w:p w:rsidR="000A249B" w:rsidRPr="00880027" w:rsidRDefault="000A249B" w:rsidP="001F6373">
      <w:pPr>
        <w:jc w:val="both"/>
        <w:rPr>
          <w:rtl/>
        </w:rPr>
      </w:pPr>
      <w:r w:rsidRPr="00880027">
        <w:rPr>
          <w:rFonts w:hint="cs"/>
          <w:rtl/>
        </w:rPr>
        <w:t xml:space="preserve">بحث اجر علی القضا با رشوه هم فرق دارد. رشوه ممکن است </w:t>
      </w:r>
      <w:r w:rsidR="002D14C3" w:rsidRPr="00880027">
        <w:rPr>
          <w:rFonts w:hint="cs"/>
          <w:rtl/>
        </w:rPr>
        <w:t xml:space="preserve">اجر </w:t>
      </w:r>
      <w:r w:rsidRPr="00880027">
        <w:rPr>
          <w:rFonts w:hint="cs"/>
          <w:rtl/>
        </w:rPr>
        <w:t xml:space="preserve">باشد و ممکن است نباشد. حقیقت رشوه این است که اجر علی القضا بگیرد </w:t>
      </w:r>
      <w:r w:rsidR="002D14C3">
        <w:rPr>
          <w:rFonts w:hint="cs"/>
          <w:rtl/>
        </w:rPr>
        <w:t xml:space="preserve">برای قضای </w:t>
      </w:r>
      <w:r w:rsidRPr="00880027">
        <w:rPr>
          <w:rFonts w:hint="cs"/>
          <w:rtl/>
        </w:rPr>
        <w:t>باطل و یا بر</w:t>
      </w:r>
      <w:r w:rsidR="002D14C3">
        <w:rPr>
          <w:rFonts w:hint="cs"/>
          <w:rtl/>
        </w:rPr>
        <w:t>ای قضای</w:t>
      </w:r>
      <w:r w:rsidRPr="00880027">
        <w:rPr>
          <w:rFonts w:hint="cs"/>
          <w:rtl/>
        </w:rPr>
        <w:t xml:space="preserve"> </w:t>
      </w:r>
      <w:r w:rsidR="00690F0B" w:rsidRPr="00880027">
        <w:rPr>
          <w:rFonts w:hint="cs"/>
          <w:rtl/>
        </w:rPr>
        <w:t>بالباطل</w:t>
      </w:r>
      <w:r w:rsidRPr="00880027">
        <w:rPr>
          <w:rFonts w:hint="cs"/>
          <w:rtl/>
        </w:rPr>
        <w:t xml:space="preserve">. یعنی پول بگیرد که به نفع رشوه دهنده </w:t>
      </w:r>
      <w:r w:rsidR="00690F0B" w:rsidRPr="00880027">
        <w:rPr>
          <w:rFonts w:hint="cs"/>
          <w:rtl/>
        </w:rPr>
        <w:t xml:space="preserve">حکم </w:t>
      </w:r>
      <w:r w:rsidRPr="00880027">
        <w:rPr>
          <w:rFonts w:hint="cs"/>
          <w:rtl/>
        </w:rPr>
        <w:t>کند که حق با او نیست</w:t>
      </w:r>
      <w:r w:rsidR="00690F0B">
        <w:rPr>
          <w:rFonts w:hint="cs"/>
          <w:rtl/>
        </w:rPr>
        <w:t xml:space="preserve"> (قضای</w:t>
      </w:r>
      <w:r w:rsidRPr="00880027">
        <w:rPr>
          <w:rFonts w:hint="cs"/>
          <w:rtl/>
        </w:rPr>
        <w:t xml:space="preserve"> </w:t>
      </w:r>
      <w:r w:rsidR="001F6373" w:rsidRPr="00880027">
        <w:rPr>
          <w:rFonts w:hint="cs"/>
          <w:rtl/>
        </w:rPr>
        <w:t>بالباطل</w:t>
      </w:r>
      <w:r w:rsidRPr="00880027">
        <w:rPr>
          <w:rFonts w:hint="cs"/>
          <w:rtl/>
        </w:rPr>
        <w:t xml:space="preserve">) و یا اینکه پول بگیرد و حکم کند برای رشوده دهنده حال چه رشوه دهنده به حق باشد و چه </w:t>
      </w:r>
      <w:r w:rsidR="00690F0B">
        <w:rPr>
          <w:rFonts w:hint="cs"/>
          <w:rtl/>
        </w:rPr>
        <w:t>نباشد</w:t>
      </w:r>
      <w:r w:rsidR="001F6373">
        <w:rPr>
          <w:rFonts w:hint="cs"/>
          <w:rtl/>
        </w:rPr>
        <w:t xml:space="preserve"> (قضای </w:t>
      </w:r>
      <w:r w:rsidRPr="00880027">
        <w:rPr>
          <w:rFonts w:hint="cs"/>
          <w:rtl/>
        </w:rPr>
        <w:t xml:space="preserve">باطل) رشوه گاهی اجر نیست بلکه هدیه است. می گوید من این مال را به شما هدیه می دهم به شرطی که به نفع من حکم کنی. این هم حقیقتا رشوه است نه اینکه در حکم رشوه باشد. این حیله نیست بلکه عین حرام است و آن حیل ربا که در روایات آمده است مربوط به جایی است که آن عنوان از حقیقت حرام خارج باشد اما در جایی که خود عنوان حرام بر آن منطبق است دیگر حیل ربا نیست مثل کاری که اصحاب السبت انجام </w:t>
      </w:r>
      <w:r w:rsidR="00690F0B">
        <w:rPr>
          <w:rFonts w:hint="cs"/>
          <w:rtl/>
        </w:rPr>
        <w:t xml:space="preserve">می </w:t>
      </w:r>
      <w:r w:rsidRPr="00880027">
        <w:rPr>
          <w:rFonts w:hint="cs"/>
          <w:rtl/>
        </w:rPr>
        <w:t>دا</w:t>
      </w:r>
      <w:r w:rsidR="00690F0B">
        <w:rPr>
          <w:rFonts w:hint="cs"/>
          <w:rtl/>
        </w:rPr>
        <w:t>د</w:t>
      </w:r>
      <w:r w:rsidRPr="00880027">
        <w:rPr>
          <w:rFonts w:hint="cs"/>
          <w:rtl/>
        </w:rPr>
        <w:t xml:space="preserve">ند که حقیقت کارشان همان عنوان صید بود که منهی عنه بود. پس رشوه گاهی اجر نیست ولی در این صورت هم حرام است. در بعضی از روایات هم هست که هر چیزی که باعث شود که به نفع یک طرف حکم کنی آن رشوه است و با صرف اینکه اسم آن هدیه باشد حقیقت رشوه عوض نمی شود. البته اگر هدیه گرفت ولی شرط نکرد که به نفع شخص حکم کند بلکه شخص بگوید من این را به تو هدیه می دهم تو کار </w:t>
      </w:r>
      <w:r w:rsidRPr="00880027">
        <w:rPr>
          <w:rFonts w:hint="cs"/>
          <w:rtl/>
        </w:rPr>
        <w:lastRenderedPageBreak/>
        <w:t>خودت را ان</w:t>
      </w:r>
      <w:r w:rsidR="00690F0B">
        <w:rPr>
          <w:rFonts w:hint="cs"/>
          <w:rtl/>
        </w:rPr>
        <w:t>جام بده، این مورد ممکن است بگویی</w:t>
      </w:r>
      <w:r w:rsidRPr="00880027">
        <w:rPr>
          <w:rFonts w:hint="cs"/>
          <w:rtl/>
        </w:rPr>
        <w:t>م لغ</w:t>
      </w:r>
      <w:r w:rsidR="00690F0B">
        <w:rPr>
          <w:rFonts w:hint="cs"/>
          <w:rtl/>
        </w:rPr>
        <w:t>تا رشوه نیست و ممکن هم هست بگویی</w:t>
      </w:r>
      <w:r w:rsidRPr="00880027">
        <w:rPr>
          <w:rFonts w:hint="cs"/>
          <w:rtl/>
        </w:rPr>
        <w:t>م رشوه است</w:t>
      </w:r>
      <w:r w:rsidR="00690F0B">
        <w:rPr>
          <w:rFonts w:hint="cs"/>
          <w:rtl/>
        </w:rPr>
        <w:t>.</w:t>
      </w:r>
      <w:r w:rsidRPr="00880027">
        <w:rPr>
          <w:rFonts w:hint="cs"/>
          <w:rtl/>
        </w:rPr>
        <w:t xml:space="preserve"> </w:t>
      </w:r>
      <w:r w:rsidR="00AE48B2">
        <w:rPr>
          <w:rFonts w:hint="cs"/>
          <w:rtl/>
        </w:rPr>
        <w:t xml:space="preserve">به هر حال </w:t>
      </w:r>
      <w:r w:rsidRPr="00880027">
        <w:rPr>
          <w:rFonts w:hint="cs"/>
          <w:rtl/>
        </w:rPr>
        <w:t xml:space="preserve">ممکن است این </w:t>
      </w:r>
      <w:r w:rsidR="00690F0B">
        <w:rPr>
          <w:rFonts w:hint="cs"/>
          <w:rtl/>
        </w:rPr>
        <w:t xml:space="preserve">مورد را </w:t>
      </w:r>
      <w:r w:rsidRPr="00880027">
        <w:rPr>
          <w:rFonts w:hint="cs"/>
          <w:rtl/>
        </w:rPr>
        <w:t xml:space="preserve">هم قائل به حرمتش باشیم زیرا قاضی را متمایل می کند که به نفع او حکم کند. </w:t>
      </w:r>
    </w:p>
    <w:p w:rsidR="000A249B" w:rsidRPr="00880027" w:rsidRDefault="000A249B" w:rsidP="000A249B">
      <w:pPr>
        <w:pStyle w:val="Heading1"/>
        <w:rPr>
          <w:rtl/>
        </w:rPr>
      </w:pPr>
      <w:bookmarkStart w:id="7" w:name="_Toc20987680"/>
      <w:r w:rsidRPr="00880027">
        <w:rPr>
          <w:rFonts w:hint="cs"/>
          <w:rtl/>
        </w:rPr>
        <w:t>أخذ اجرت بر کتابت قضا</w:t>
      </w:r>
      <w:bookmarkEnd w:id="7"/>
    </w:p>
    <w:p w:rsidR="000A249B" w:rsidRPr="00880027" w:rsidRDefault="000A249B" w:rsidP="000A249B">
      <w:pPr>
        <w:jc w:val="both"/>
      </w:pPr>
      <w:r w:rsidRPr="00880027">
        <w:rPr>
          <w:rFonts w:hint="cs"/>
          <w:rtl/>
        </w:rPr>
        <w:t>یکی از مسائلی که در اینجا در کلام مرحوم خوئی</w:t>
      </w:r>
      <w:r>
        <w:rPr>
          <w:rStyle w:val="FootnoteReference"/>
          <w:rtl/>
        </w:rPr>
        <w:footnoteReference w:id="2"/>
      </w:r>
      <w:r w:rsidRPr="00880027">
        <w:rPr>
          <w:rFonts w:hint="cs"/>
          <w:rtl/>
        </w:rPr>
        <w:t xml:space="preserve"> آمده است بحث جواز اخذ اجرت بر کتابت قضا است یعنی آیا قاضی می تواند بر کتابت بر قضا و مواردی که </w:t>
      </w:r>
      <w:r w:rsidR="0028621F">
        <w:rPr>
          <w:rFonts w:hint="cs"/>
          <w:rtl/>
        </w:rPr>
        <w:t>از حقیقت قضا خارج است اجر بگیرد؟</w:t>
      </w:r>
      <w:r w:rsidRPr="00880027">
        <w:rPr>
          <w:rFonts w:hint="cs"/>
          <w:rtl/>
        </w:rPr>
        <w:t xml:space="preserve"> مرحوم خوئی فرموده است وقتی بر خود قضا جایز است اجر بگیرد بر کتابت بر قضا هم می تواند اجر بگیرد بلکه حتی اگر قائل به جواز اخذ اجرت بر قضا هم نشویم اخذ اجرت بر کتابت قضا مانعی ندارد. آن چیزی که بر قاضی واجب است خود قضاوت است نه ثبت قضاوت. مرحوم صاحب جواهر فرموده است </w:t>
      </w:r>
      <w:r w:rsidRPr="00880027">
        <w:rPr>
          <w:rFonts w:ascii="Tahoma" w:hAnsi="Tahoma" w:hint="cs"/>
          <w:shd w:val="clear" w:color="auto" w:fill="FFFFFF"/>
          <w:rtl/>
        </w:rPr>
        <w:t>«</w:t>
      </w:r>
      <w:r w:rsidRPr="00304E54">
        <w:rPr>
          <w:rFonts w:ascii="Tahoma" w:hAnsi="Tahoma"/>
          <w:color w:val="000080"/>
          <w:shd w:val="clear" w:color="auto" w:fill="FFFFFF"/>
          <w:rtl/>
        </w:rPr>
        <w:t>نعم لا بأس بأخذ الأجرة على ما كان خارجا عن القضاء و مقدماته كالكتابة و الرسم و نحوهما، مع أنه لا ينبغي استعماله من قوام الشرع و حفظته و لا استعمال بعض الأرذال الذين يحتالون لأخذ الجعل على القضاء بذلك و بالتحاكم في مكان مخصوص و نحوه من الأمور الزائدة على القضاء، لما فيه من النفرة و جلب التهمة و عدم رغبة الناس في الدين و أهله</w:t>
      </w:r>
      <w:r w:rsidRPr="00880027">
        <w:rPr>
          <w:rFonts w:ascii="Tahoma" w:hAnsi="Tahoma" w:hint="cs"/>
          <w:shd w:val="clear" w:color="auto" w:fill="FFFFFF"/>
          <w:rtl/>
        </w:rPr>
        <w:t>»</w:t>
      </w:r>
      <w:r w:rsidR="00304E54">
        <w:rPr>
          <w:rStyle w:val="FootnoteReference"/>
          <w:rFonts w:ascii="Tahoma" w:hAnsi="Tahoma"/>
          <w:shd w:val="clear" w:color="auto" w:fill="FFFFFF"/>
          <w:rtl/>
        </w:rPr>
        <w:footnoteReference w:id="3"/>
      </w:r>
      <w:r w:rsidRPr="00880027">
        <w:rPr>
          <w:rFonts w:ascii="Tahoma" w:hAnsi="Tahoma" w:hint="cs"/>
          <w:shd w:val="clear" w:color="auto" w:fill="FFFFFF"/>
          <w:rtl/>
        </w:rPr>
        <w:t xml:space="preserve"> ایشان فرموده است که اخذ اجرت بر کتابت و مواردی مانند اینکه در فلان مکان قضاوت بکند و موارد دیگری که خارج از حقیقت قضا است، شرعا مانعی ندارد اما طوری نشود که به بهانه اجرت بر کتابت اجرت بر قضا بگیرد و قاضی ای را هم به کارنگیرند که چنین کاری می کند زیرا قضاوت منصب انبیاء است و با چنین افعالی از جانب قضات موقعیت قضا در نفوس مردم موهون می شود.  </w:t>
      </w:r>
    </w:p>
    <w:p w:rsidR="000A249B" w:rsidRPr="00880027" w:rsidRDefault="000A249B" w:rsidP="00304E54">
      <w:pPr>
        <w:pStyle w:val="Heading1"/>
        <w:rPr>
          <w:rtl/>
        </w:rPr>
      </w:pPr>
      <w:bookmarkStart w:id="8" w:name="_Toc20987681"/>
      <w:r w:rsidRPr="00880027">
        <w:rPr>
          <w:rFonts w:hint="cs"/>
          <w:rtl/>
        </w:rPr>
        <w:t>اخذ اجرت بر مقدمات قضا</w:t>
      </w:r>
      <w:bookmarkEnd w:id="8"/>
    </w:p>
    <w:p w:rsidR="000A249B" w:rsidRPr="00880027" w:rsidRDefault="000A249B" w:rsidP="000A249B">
      <w:pPr>
        <w:jc w:val="both"/>
        <w:rPr>
          <w:rtl/>
        </w:rPr>
      </w:pPr>
      <w:r w:rsidRPr="00880027">
        <w:rPr>
          <w:rFonts w:hint="cs"/>
          <w:rtl/>
        </w:rPr>
        <w:t>مرحوم ملا علی کنی بعد از نقل کلام صاحب جواهر می گوید کلام صاحب جواهر متین است مگر در بخش اخیر که فرمود «لا ینبغی» زیرا باید می گفت در مواردی مانند اخذ اجرت برای نشستن در مکان خاص با</w:t>
      </w:r>
      <w:r w:rsidR="0028621F">
        <w:rPr>
          <w:rFonts w:hint="cs"/>
          <w:rtl/>
        </w:rPr>
        <w:t>ی</w:t>
      </w:r>
      <w:r w:rsidRPr="00880027">
        <w:rPr>
          <w:rFonts w:hint="cs"/>
          <w:rtl/>
        </w:rPr>
        <w:t>د قائل به حرمت می شد و می گفت جایز نیست نه اینکه شایسته نیست.</w:t>
      </w:r>
    </w:p>
    <w:p w:rsidR="000A249B" w:rsidRPr="00880027" w:rsidRDefault="000A249B" w:rsidP="0028621F">
      <w:pPr>
        <w:jc w:val="both"/>
        <w:rPr>
          <w:rtl/>
        </w:rPr>
      </w:pPr>
      <w:r w:rsidRPr="00880027">
        <w:rPr>
          <w:rFonts w:hint="cs"/>
          <w:rtl/>
        </w:rPr>
        <w:t>مرحوم خوئی</w:t>
      </w:r>
      <w:r w:rsidR="00304E54">
        <w:rPr>
          <w:rStyle w:val="FootnoteReference"/>
          <w:rtl/>
        </w:rPr>
        <w:footnoteReference w:id="4"/>
      </w:r>
      <w:r w:rsidRPr="00880027">
        <w:rPr>
          <w:rFonts w:hint="cs"/>
          <w:rtl/>
        </w:rPr>
        <w:t xml:space="preserve"> فرموده است اخذ اجرت بر مقدمات قضا مانعی ندارد و ایشان عدم حرمت اخذ اجرت بر مقدمات قضا را مفروغ عنه فرض کرده است در حالی که برخی فقها مانند صاحب جواهر</w:t>
      </w:r>
      <w:r w:rsidR="00E9393E">
        <w:rPr>
          <w:rStyle w:val="FootnoteReference"/>
          <w:rtl/>
        </w:rPr>
        <w:footnoteReference w:id="5"/>
      </w:r>
      <w:r w:rsidRPr="00880027">
        <w:rPr>
          <w:rFonts w:hint="cs"/>
          <w:rtl/>
        </w:rPr>
        <w:t xml:space="preserve"> فرموده است که فرق</w:t>
      </w:r>
      <w:r w:rsidR="0028621F">
        <w:rPr>
          <w:rFonts w:hint="cs"/>
          <w:rtl/>
        </w:rPr>
        <w:t>ی</w:t>
      </w:r>
      <w:r w:rsidRPr="00880027">
        <w:rPr>
          <w:rFonts w:hint="cs"/>
          <w:rtl/>
        </w:rPr>
        <w:t xml:space="preserve"> بین اخذ اجرت بر قضا</w:t>
      </w:r>
      <w:r w:rsidR="0028621F">
        <w:rPr>
          <w:rFonts w:hint="cs"/>
          <w:rtl/>
        </w:rPr>
        <w:t xml:space="preserve"> و اخذ اجرت بر مقدمات قضا نیست و اگر اجر بر قضا جایز نباشد اجر بر مقدمات آن هم جایز نخواهد بود.</w:t>
      </w:r>
    </w:p>
    <w:bookmarkEnd w:id="3"/>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2608" w:rsidRDefault="00B52608" w:rsidP="008B750B">
      <w:pPr>
        <w:spacing w:line="240" w:lineRule="auto"/>
      </w:pPr>
      <w:r>
        <w:separator/>
      </w:r>
    </w:p>
  </w:endnote>
  <w:endnote w:type="continuationSeparator" w:id="0">
    <w:p w:rsidR="00B52608" w:rsidRDefault="00B5260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11EE3" w:rsidRPr="00911EE3">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104292" w:rsidP="001B6799">
          <w:pPr>
            <w:pStyle w:val="Footer"/>
            <w:bidi w:val="0"/>
            <w:rPr>
              <w:color w:val="808080" w:themeColor="background1" w:themeShade="80"/>
              <w:rtl/>
            </w:rPr>
          </w:pPr>
          <w:bookmarkStart w:id="16" w:name="BokAdres"/>
          <w:bookmarkEnd w:id="16"/>
          <w:r>
            <w:rPr>
              <w:color w:val="808080" w:themeColor="background1" w:themeShade="80"/>
            </w:rPr>
            <w:t>F1mq1_13980708-011_mk4_mfeb.ir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2608" w:rsidRDefault="00B52608" w:rsidP="008B750B">
      <w:pPr>
        <w:spacing w:line="240" w:lineRule="auto"/>
      </w:pPr>
      <w:r>
        <w:separator/>
      </w:r>
    </w:p>
  </w:footnote>
  <w:footnote w:type="continuationSeparator" w:id="0">
    <w:p w:rsidR="00B52608" w:rsidRDefault="00B52608" w:rsidP="008B750B">
      <w:pPr>
        <w:spacing w:line="240" w:lineRule="auto"/>
      </w:pPr>
      <w:r>
        <w:continuationSeparator/>
      </w:r>
    </w:p>
  </w:footnote>
  <w:footnote w:id="1">
    <w:p w:rsidR="000A249B" w:rsidRPr="000A249B" w:rsidRDefault="000A249B" w:rsidP="000A249B">
      <w:pPr>
        <w:pStyle w:val="FootnoteText"/>
      </w:pPr>
      <w:r w:rsidRPr="000A249B">
        <w:footnoteRef/>
      </w:r>
      <w:r w:rsidRPr="000A249B">
        <w:rPr>
          <w:rtl/>
        </w:rPr>
        <w:t xml:space="preserve"> </w:t>
      </w:r>
      <w:hyperlink r:id="rId1" w:history="1">
        <w:r w:rsidRPr="000A249B">
          <w:rPr>
            <w:rStyle w:val="Hyperlink"/>
            <w:rFonts w:hint="cs"/>
            <w:u w:val="none"/>
            <w:rtl/>
          </w:rPr>
          <w:t>کتاب القضا( للگلبایگانی)،</w:t>
        </w:r>
        <w:r w:rsidRPr="000A249B">
          <w:rPr>
            <w:rStyle w:val="Hyperlink"/>
            <w:u w:val="none"/>
            <w:rtl/>
          </w:rPr>
          <w:t xml:space="preserve"> </w:t>
        </w:r>
        <w:r w:rsidRPr="000A249B">
          <w:rPr>
            <w:rStyle w:val="Hyperlink"/>
            <w:rFonts w:hint="cs"/>
            <w:u w:val="none"/>
            <w:rtl/>
          </w:rPr>
          <w:t>ج</w:t>
        </w:r>
        <w:r w:rsidRPr="000A249B">
          <w:rPr>
            <w:rStyle w:val="Hyperlink"/>
            <w:u w:val="none"/>
            <w:rtl/>
          </w:rPr>
          <w:t>1</w:t>
        </w:r>
        <w:r w:rsidRPr="000A249B">
          <w:rPr>
            <w:rStyle w:val="Hyperlink"/>
            <w:rFonts w:hint="cs"/>
            <w:u w:val="none"/>
            <w:rtl/>
          </w:rPr>
          <w:t>،</w:t>
        </w:r>
        <w:r w:rsidRPr="000A249B">
          <w:rPr>
            <w:rStyle w:val="Hyperlink"/>
            <w:u w:val="none"/>
            <w:rtl/>
          </w:rPr>
          <w:t xml:space="preserve"> </w:t>
        </w:r>
        <w:r w:rsidRPr="000A249B">
          <w:rPr>
            <w:rStyle w:val="Hyperlink"/>
            <w:rFonts w:hint="cs"/>
            <w:u w:val="none"/>
            <w:rtl/>
          </w:rPr>
          <w:t>ص</w:t>
        </w:r>
        <w:r w:rsidRPr="000A249B">
          <w:rPr>
            <w:rStyle w:val="Hyperlink"/>
            <w:u w:val="none"/>
            <w:rtl/>
          </w:rPr>
          <w:t>102</w:t>
        </w:r>
        <w:r w:rsidRPr="000A249B">
          <w:rPr>
            <w:rStyle w:val="Hyperlink"/>
            <w:u w:val="none"/>
          </w:rPr>
          <w:t>.</w:t>
        </w:r>
      </w:hyperlink>
    </w:p>
  </w:footnote>
  <w:footnote w:id="2">
    <w:p w:rsidR="000A249B" w:rsidRPr="000A249B" w:rsidRDefault="000A249B" w:rsidP="000A249B">
      <w:pPr>
        <w:pStyle w:val="FootnoteText"/>
      </w:pPr>
      <w:r w:rsidRPr="000A249B">
        <w:footnoteRef/>
      </w:r>
      <w:r w:rsidRPr="000A249B">
        <w:rPr>
          <w:rtl/>
        </w:rPr>
        <w:t xml:space="preserve"> </w:t>
      </w:r>
      <w:hyperlink r:id="rId2" w:history="1">
        <w:r w:rsidRPr="000A249B">
          <w:rPr>
            <w:rStyle w:val="Hyperlink"/>
            <w:rFonts w:hint="cs"/>
            <w:rtl/>
          </w:rPr>
          <w:t>القضاء</w:t>
        </w:r>
        <w:r w:rsidRPr="000A249B">
          <w:rPr>
            <w:rStyle w:val="Hyperlink"/>
            <w:rtl/>
          </w:rPr>
          <w:t xml:space="preserve"> </w:t>
        </w:r>
        <w:r w:rsidRPr="000A249B">
          <w:rPr>
            <w:rStyle w:val="Hyperlink"/>
            <w:rFonts w:hint="cs"/>
            <w:rtl/>
          </w:rPr>
          <w:t>والشهادات،</w:t>
        </w:r>
        <w:r w:rsidRPr="000A249B">
          <w:rPr>
            <w:rStyle w:val="Hyperlink"/>
            <w:rtl/>
          </w:rPr>
          <w:t xml:space="preserve"> </w:t>
        </w:r>
        <w:r w:rsidRPr="000A249B">
          <w:rPr>
            <w:rStyle w:val="Hyperlink"/>
            <w:rFonts w:ascii="Cambria" w:hAnsi="Cambria" w:cs="Cambria" w:hint="cs"/>
            <w:rtl/>
          </w:rPr>
          <w:t> </w:t>
        </w:r>
        <w:r w:rsidRPr="000A249B">
          <w:rPr>
            <w:rStyle w:val="Hyperlink"/>
            <w:rFonts w:hint="cs"/>
            <w:rtl/>
          </w:rPr>
          <w:t>الخوئي،</w:t>
        </w:r>
        <w:r w:rsidRPr="000A249B">
          <w:rPr>
            <w:rStyle w:val="Hyperlink"/>
            <w:rtl/>
          </w:rPr>
          <w:t xml:space="preserve"> </w:t>
        </w:r>
        <w:r w:rsidRPr="000A249B">
          <w:rPr>
            <w:rStyle w:val="Hyperlink"/>
            <w:rFonts w:hint="cs"/>
            <w:rtl/>
          </w:rPr>
          <w:t>السيد</w:t>
        </w:r>
        <w:r w:rsidRPr="000A249B">
          <w:rPr>
            <w:rStyle w:val="Hyperlink"/>
            <w:rtl/>
          </w:rPr>
          <w:t xml:space="preserve"> </w:t>
        </w:r>
        <w:r w:rsidRPr="000A249B">
          <w:rPr>
            <w:rStyle w:val="Hyperlink"/>
            <w:rFonts w:hint="cs"/>
            <w:rtl/>
          </w:rPr>
          <w:t>ابوالقاسم،</w:t>
        </w:r>
        <w:r w:rsidRPr="000A249B">
          <w:rPr>
            <w:rStyle w:val="Hyperlink"/>
            <w:rtl/>
          </w:rPr>
          <w:t xml:space="preserve"> </w:t>
        </w:r>
        <w:r w:rsidRPr="000A249B">
          <w:rPr>
            <w:rStyle w:val="Hyperlink"/>
            <w:rFonts w:hint="cs"/>
            <w:rtl/>
          </w:rPr>
          <w:t>ج</w:t>
        </w:r>
        <w:r w:rsidRPr="000A249B">
          <w:rPr>
            <w:rStyle w:val="Hyperlink"/>
            <w:rtl/>
          </w:rPr>
          <w:t>1</w:t>
        </w:r>
        <w:r w:rsidRPr="000A249B">
          <w:rPr>
            <w:rStyle w:val="Hyperlink"/>
            <w:rFonts w:hint="cs"/>
            <w:rtl/>
          </w:rPr>
          <w:t>،</w:t>
        </w:r>
        <w:r w:rsidRPr="000A249B">
          <w:rPr>
            <w:rStyle w:val="Hyperlink"/>
            <w:rtl/>
          </w:rPr>
          <w:t xml:space="preserve"> </w:t>
        </w:r>
        <w:r w:rsidRPr="000A249B">
          <w:rPr>
            <w:rStyle w:val="Hyperlink"/>
            <w:rFonts w:hint="cs"/>
            <w:rtl/>
          </w:rPr>
          <w:t>ص</w:t>
        </w:r>
        <w:r w:rsidRPr="000A249B">
          <w:rPr>
            <w:rStyle w:val="Hyperlink"/>
            <w:rtl/>
          </w:rPr>
          <w:t>20.</w:t>
        </w:r>
      </w:hyperlink>
    </w:p>
  </w:footnote>
  <w:footnote w:id="3">
    <w:p w:rsidR="00304E54" w:rsidRPr="00304E54" w:rsidRDefault="00304E54" w:rsidP="00304E54">
      <w:pPr>
        <w:pStyle w:val="FootnoteText"/>
        <w:rPr>
          <w:rtl/>
        </w:rPr>
      </w:pPr>
      <w:r w:rsidRPr="00304E54">
        <w:footnoteRef/>
      </w:r>
      <w:r w:rsidRPr="00304E54">
        <w:rPr>
          <w:rtl/>
        </w:rPr>
        <w:t xml:space="preserve"> </w:t>
      </w:r>
      <w:hyperlink r:id="rId3" w:history="1">
        <w:r w:rsidRPr="00304E54">
          <w:rPr>
            <w:rStyle w:val="Hyperlink"/>
            <w:rFonts w:hint="cs"/>
            <w:rtl/>
          </w:rPr>
          <w:t>جواهر</w:t>
        </w:r>
        <w:r w:rsidRPr="00304E54">
          <w:rPr>
            <w:rStyle w:val="Hyperlink"/>
            <w:rtl/>
          </w:rPr>
          <w:t xml:space="preserve"> </w:t>
        </w:r>
        <w:r w:rsidRPr="00304E54">
          <w:rPr>
            <w:rStyle w:val="Hyperlink"/>
            <w:rFonts w:hint="cs"/>
            <w:rtl/>
          </w:rPr>
          <w:t>الکلام،</w:t>
        </w:r>
        <w:r w:rsidRPr="00304E54">
          <w:rPr>
            <w:rStyle w:val="Hyperlink"/>
            <w:rtl/>
          </w:rPr>
          <w:t xml:space="preserve"> </w:t>
        </w:r>
        <w:r w:rsidRPr="00304E54">
          <w:rPr>
            <w:rStyle w:val="Hyperlink"/>
            <w:rFonts w:hint="cs"/>
            <w:rtl/>
          </w:rPr>
          <w:t>محمد</w:t>
        </w:r>
        <w:r w:rsidRPr="00304E54">
          <w:rPr>
            <w:rStyle w:val="Hyperlink"/>
            <w:rtl/>
          </w:rPr>
          <w:t xml:space="preserve"> </w:t>
        </w:r>
        <w:r w:rsidRPr="00304E54">
          <w:rPr>
            <w:rStyle w:val="Hyperlink"/>
            <w:rFonts w:hint="cs"/>
            <w:rtl/>
          </w:rPr>
          <w:t>حسن</w:t>
        </w:r>
        <w:r w:rsidRPr="00304E54">
          <w:rPr>
            <w:rStyle w:val="Hyperlink"/>
            <w:rtl/>
          </w:rPr>
          <w:t xml:space="preserve"> </w:t>
        </w:r>
        <w:r w:rsidRPr="00304E54">
          <w:rPr>
            <w:rStyle w:val="Hyperlink"/>
            <w:rFonts w:hint="cs"/>
            <w:rtl/>
          </w:rPr>
          <w:t>نجفی،</w:t>
        </w:r>
        <w:r w:rsidRPr="00304E54">
          <w:rPr>
            <w:rStyle w:val="Hyperlink"/>
            <w:rtl/>
          </w:rPr>
          <w:t xml:space="preserve"> </w:t>
        </w:r>
        <w:r w:rsidRPr="00304E54">
          <w:rPr>
            <w:rStyle w:val="Hyperlink"/>
            <w:rFonts w:hint="cs"/>
            <w:rtl/>
          </w:rPr>
          <w:t>ج</w:t>
        </w:r>
        <w:r w:rsidRPr="00304E54">
          <w:rPr>
            <w:rStyle w:val="Hyperlink"/>
            <w:rtl/>
          </w:rPr>
          <w:t>22</w:t>
        </w:r>
        <w:r w:rsidRPr="00304E54">
          <w:rPr>
            <w:rStyle w:val="Hyperlink"/>
            <w:rFonts w:hint="cs"/>
            <w:rtl/>
          </w:rPr>
          <w:t>،</w:t>
        </w:r>
        <w:r w:rsidRPr="00304E54">
          <w:rPr>
            <w:rStyle w:val="Hyperlink"/>
            <w:rtl/>
          </w:rPr>
          <w:t xml:space="preserve"> </w:t>
        </w:r>
        <w:r w:rsidRPr="00304E54">
          <w:rPr>
            <w:rStyle w:val="Hyperlink"/>
            <w:rFonts w:hint="cs"/>
            <w:rtl/>
          </w:rPr>
          <w:t>ص</w:t>
        </w:r>
        <w:r w:rsidRPr="00304E54">
          <w:rPr>
            <w:rStyle w:val="Hyperlink"/>
            <w:rtl/>
          </w:rPr>
          <w:t>124.</w:t>
        </w:r>
      </w:hyperlink>
    </w:p>
  </w:footnote>
  <w:footnote w:id="4">
    <w:p w:rsidR="00304E54" w:rsidRPr="00304E54" w:rsidRDefault="00304E54" w:rsidP="00304E54">
      <w:pPr>
        <w:pStyle w:val="FootnoteText"/>
      </w:pPr>
      <w:r w:rsidRPr="00304E54">
        <w:footnoteRef/>
      </w:r>
      <w:r w:rsidRPr="00304E54">
        <w:rPr>
          <w:rtl/>
        </w:rPr>
        <w:t xml:space="preserve"> </w:t>
      </w:r>
      <w:hyperlink r:id="rId4" w:history="1">
        <w:r w:rsidRPr="00304E54">
          <w:rPr>
            <w:rStyle w:val="Hyperlink"/>
            <w:rFonts w:hint="cs"/>
            <w:rtl/>
          </w:rPr>
          <w:t>القضاء</w:t>
        </w:r>
        <w:r w:rsidRPr="00304E54">
          <w:rPr>
            <w:rStyle w:val="Hyperlink"/>
            <w:rtl/>
          </w:rPr>
          <w:t xml:space="preserve"> </w:t>
        </w:r>
        <w:r w:rsidRPr="00304E54">
          <w:rPr>
            <w:rStyle w:val="Hyperlink"/>
            <w:rFonts w:hint="cs"/>
            <w:rtl/>
          </w:rPr>
          <w:t>والشهادات،</w:t>
        </w:r>
        <w:r w:rsidRPr="00304E54">
          <w:rPr>
            <w:rStyle w:val="Hyperlink"/>
            <w:rtl/>
          </w:rPr>
          <w:t xml:space="preserve"> </w:t>
        </w:r>
        <w:r w:rsidRPr="00304E54">
          <w:rPr>
            <w:rStyle w:val="Hyperlink"/>
            <w:rFonts w:ascii="Cambria" w:hAnsi="Cambria" w:cs="Cambria" w:hint="cs"/>
            <w:rtl/>
          </w:rPr>
          <w:t> </w:t>
        </w:r>
        <w:r w:rsidRPr="00304E54">
          <w:rPr>
            <w:rStyle w:val="Hyperlink"/>
            <w:rFonts w:hint="cs"/>
            <w:rtl/>
          </w:rPr>
          <w:t>الخوئي،</w:t>
        </w:r>
        <w:r w:rsidRPr="00304E54">
          <w:rPr>
            <w:rStyle w:val="Hyperlink"/>
            <w:rtl/>
          </w:rPr>
          <w:t xml:space="preserve"> </w:t>
        </w:r>
        <w:r w:rsidRPr="00304E54">
          <w:rPr>
            <w:rStyle w:val="Hyperlink"/>
            <w:rFonts w:hint="cs"/>
            <w:rtl/>
          </w:rPr>
          <w:t>السيد</w:t>
        </w:r>
        <w:r w:rsidRPr="00304E54">
          <w:rPr>
            <w:rStyle w:val="Hyperlink"/>
            <w:rtl/>
          </w:rPr>
          <w:t xml:space="preserve"> </w:t>
        </w:r>
        <w:r w:rsidRPr="00304E54">
          <w:rPr>
            <w:rStyle w:val="Hyperlink"/>
            <w:rFonts w:hint="cs"/>
            <w:rtl/>
          </w:rPr>
          <w:t>ابوالقاسم،</w:t>
        </w:r>
        <w:r w:rsidRPr="00304E54">
          <w:rPr>
            <w:rStyle w:val="Hyperlink"/>
            <w:rtl/>
          </w:rPr>
          <w:t xml:space="preserve"> </w:t>
        </w:r>
        <w:r w:rsidRPr="00304E54">
          <w:rPr>
            <w:rStyle w:val="Hyperlink"/>
            <w:rFonts w:hint="cs"/>
            <w:rtl/>
          </w:rPr>
          <w:t>ج</w:t>
        </w:r>
        <w:r w:rsidRPr="00304E54">
          <w:rPr>
            <w:rStyle w:val="Hyperlink"/>
            <w:rtl/>
          </w:rPr>
          <w:t>1</w:t>
        </w:r>
        <w:r w:rsidRPr="00304E54">
          <w:rPr>
            <w:rStyle w:val="Hyperlink"/>
            <w:rFonts w:hint="cs"/>
            <w:rtl/>
          </w:rPr>
          <w:t>،</w:t>
        </w:r>
        <w:r w:rsidRPr="00304E54">
          <w:rPr>
            <w:rStyle w:val="Hyperlink"/>
            <w:rtl/>
          </w:rPr>
          <w:t xml:space="preserve"> </w:t>
        </w:r>
        <w:r w:rsidRPr="00304E54">
          <w:rPr>
            <w:rStyle w:val="Hyperlink"/>
            <w:rFonts w:hint="cs"/>
            <w:rtl/>
          </w:rPr>
          <w:t>ص</w:t>
        </w:r>
        <w:r w:rsidRPr="00304E54">
          <w:rPr>
            <w:rStyle w:val="Hyperlink"/>
            <w:rtl/>
          </w:rPr>
          <w:t>20.</w:t>
        </w:r>
      </w:hyperlink>
    </w:p>
  </w:footnote>
  <w:footnote w:id="5">
    <w:p w:rsidR="00E9393E" w:rsidRPr="00E9393E" w:rsidRDefault="00E9393E" w:rsidP="00E9393E">
      <w:pPr>
        <w:pStyle w:val="FootnoteText"/>
      </w:pPr>
      <w:r w:rsidRPr="00E9393E">
        <w:footnoteRef/>
      </w:r>
      <w:r w:rsidRPr="00E9393E">
        <w:rPr>
          <w:rtl/>
        </w:rPr>
        <w:t xml:space="preserve"> </w:t>
      </w:r>
      <w:hyperlink r:id="rId5" w:history="1">
        <w:r w:rsidRPr="00E9393E">
          <w:rPr>
            <w:rStyle w:val="Hyperlink"/>
            <w:rFonts w:hint="cs"/>
            <w:rtl/>
          </w:rPr>
          <w:t>جواهر</w:t>
        </w:r>
        <w:r w:rsidRPr="00E9393E">
          <w:rPr>
            <w:rStyle w:val="Hyperlink"/>
            <w:rtl/>
          </w:rPr>
          <w:t xml:space="preserve"> </w:t>
        </w:r>
        <w:r w:rsidRPr="00E9393E">
          <w:rPr>
            <w:rStyle w:val="Hyperlink"/>
            <w:rFonts w:hint="cs"/>
            <w:rtl/>
          </w:rPr>
          <w:t>الکلام،</w:t>
        </w:r>
        <w:r w:rsidRPr="00E9393E">
          <w:rPr>
            <w:rStyle w:val="Hyperlink"/>
            <w:rtl/>
          </w:rPr>
          <w:t xml:space="preserve"> </w:t>
        </w:r>
        <w:r w:rsidRPr="00E9393E">
          <w:rPr>
            <w:rStyle w:val="Hyperlink"/>
            <w:rFonts w:hint="cs"/>
            <w:rtl/>
          </w:rPr>
          <w:t>محمد</w:t>
        </w:r>
        <w:r w:rsidRPr="00E9393E">
          <w:rPr>
            <w:rStyle w:val="Hyperlink"/>
            <w:rtl/>
          </w:rPr>
          <w:t xml:space="preserve"> </w:t>
        </w:r>
        <w:r w:rsidRPr="00E9393E">
          <w:rPr>
            <w:rStyle w:val="Hyperlink"/>
            <w:rFonts w:hint="cs"/>
            <w:rtl/>
          </w:rPr>
          <w:t>حسن</w:t>
        </w:r>
        <w:r w:rsidRPr="00E9393E">
          <w:rPr>
            <w:rStyle w:val="Hyperlink"/>
            <w:rtl/>
          </w:rPr>
          <w:t xml:space="preserve"> </w:t>
        </w:r>
        <w:r w:rsidRPr="00E9393E">
          <w:rPr>
            <w:rStyle w:val="Hyperlink"/>
            <w:rFonts w:hint="cs"/>
            <w:rtl/>
          </w:rPr>
          <w:t>نجفی،</w:t>
        </w:r>
        <w:r w:rsidRPr="00E9393E">
          <w:rPr>
            <w:rStyle w:val="Hyperlink"/>
            <w:rtl/>
          </w:rPr>
          <w:t xml:space="preserve"> </w:t>
        </w:r>
        <w:r w:rsidRPr="00E9393E">
          <w:rPr>
            <w:rStyle w:val="Hyperlink"/>
            <w:rFonts w:hint="cs"/>
            <w:rtl/>
          </w:rPr>
          <w:t>ج</w:t>
        </w:r>
        <w:r w:rsidRPr="00E9393E">
          <w:rPr>
            <w:rStyle w:val="Hyperlink"/>
            <w:rtl/>
          </w:rPr>
          <w:t>22</w:t>
        </w:r>
        <w:r w:rsidRPr="00E9393E">
          <w:rPr>
            <w:rStyle w:val="Hyperlink"/>
            <w:rFonts w:hint="cs"/>
            <w:rtl/>
          </w:rPr>
          <w:t>،</w:t>
        </w:r>
        <w:r w:rsidRPr="00E9393E">
          <w:rPr>
            <w:rStyle w:val="Hyperlink"/>
            <w:rtl/>
          </w:rPr>
          <w:t xml:space="preserve"> </w:t>
        </w:r>
        <w:r w:rsidRPr="00E9393E">
          <w:rPr>
            <w:rStyle w:val="Hyperlink"/>
            <w:rFonts w:hint="cs"/>
            <w:rtl/>
          </w:rPr>
          <w:t>ص</w:t>
        </w:r>
        <w:r w:rsidRPr="00E9393E">
          <w:rPr>
            <w:rStyle w:val="Hyperlink"/>
            <w:rtl/>
          </w:rPr>
          <w:t>123.</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104292">
      <w:rPr>
        <w:b/>
        <w:bCs/>
        <w:sz w:val="20"/>
        <w:szCs w:val="24"/>
        <w:rtl/>
      </w:rPr>
      <w:t>011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104292">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104292">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104292">
      <w:rPr>
        <w:sz w:val="24"/>
        <w:szCs w:val="24"/>
        <w:rtl/>
      </w:rPr>
      <w:t>8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104292">
      <w:rPr>
        <w:rFonts w:hint="cs"/>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104292">
      <w:rPr>
        <w:rFonts w:hint="cs"/>
        <w:sz w:val="24"/>
        <w:szCs w:val="24"/>
        <w:rtl/>
      </w:rPr>
      <w:t>مهدی</w:t>
    </w:r>
    <w:r w:rsidR="00104292">
      <w:rPr>
        <w:sz w:val="24"/>
        <w:szCs w:val="24"/>
        <w:rtl/>
      </w:rPr>
      <w:t xml:space="preserve"> </w:t>
    </w:r>
    <w:r w:rsidR="00104292">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104292">
      <w:rPr>
        <w:rFonts w:hint="cs"/>
        <w:sz w:val="24"/>
        <w:szCs w:val="24"/>
        <w:rtl/>
      </w:rPr>
      <w:t>احکام</w:t>
    </w:r>
    <w:r w:rsidR="00104292">
      <w:rPr>
        <w:sz w:val="24"/>
        <w:szCs w:val="24"/>
        <w:rtl/>
      </w:rPr>
      <w:t xml:space="preserve"> </w:t>
    </w:r>
    <w:r w:rsidR="00104292">
      <w:rPr>
        <w:rFonts w:hint="cs"/>
        <w:sz w:val="24"/>
        <w:szCs w:val="24"/>
        <w:rtl/>
      </w:rPr>
      <w:t>القضا</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65E94"/>
    <w:rsid w:val="00080A41"/>
    <w:rsid w:val="0008299B"/>
    <w:rsid w:val="000913AA"/>
    <w:rsid w:val="00094847"/>
    <w:rsid w:val="00096C63"/>
    <w:rsid w:val="000A249B"/>
    <w:rsid w:val="000B5DB5"/>
    <w:rsid w:val="000C3947"/>
    <w:rsid w:val="000D2A37"/>
    <w:rsid w:val="000D30E9"/>
    <w:rsid w:val="000D6818"/>
    <w:rsid w:val="000E335E"/>
    <w:rsid w:val="000F16CF"/>
    <w:rsid w:val="000F5BAC"/>
    <w:rsid w:val="00102585"/>
    <w:rsid w:val="00104292"/>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6373"/>
    <w:rsid w:val="0020241A"/>
    <w:rsid w:val="00203821"/>
    <w:rsid w:val="00211632"/>
    <w:rsid w:val="0021630D"/>
    <w:rsid w:val="0024121B"/>
    <w:rsid w:val="00247D2F"/>
    <w:rsid w:val="00256560"/>
    <w:rsid w:val="0027605E"/>
    <w:rsid w:val="00281E00"/>
    <w:rsid w:val="0028621F"/>
    <w:rsid w:val="00294A52"/>
    <w:rsid w:val="002B575F"/>
    <w:rsid w:val="002B729B"/>
    <w:rsid w:val="002C23B5"/>
    <w:rsid w:val="002C53A2"/>
    <w:rsid w:val="002D0040"/>
    <w:rsid w:val="002D14C3"/>
    <w:rsid w:val="002D2FA8"/>
    <w:rsid w:val="002E220F"/>
    <w:rsid w:val="00304E54"/>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31339"/>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5F5F31"/>
    <w:rsid w:val="00601229"/>
    <w:rsid w:val="00603B67"/>
    <w:rsid w:val="006162A2"/>
    <w:rsid w:val="006240DA"/>
    <w:rsid w:val="0063256E"/>
    <w:rsid w:val="00633F04"/>
    <w:rsid w:val="00635219"/>
    <w:rsid w:val="00635EC0"/>
    <w:rsid w:val="00640B58"/>
    <w:rsid w:val="00651B02"/>
    <w:rsid w:val="00651B19"/>
    <w:rsid w:val="00660A29"/>
    <w:rsid w:val="00690F0B"/>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2470"/>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11EE3"/>
    <w:rsid w:val="00923C34"/>
    <w:rsid w:val="00924152"/>
    <w:rsid w:val="0092513D"/>
    <w:rsid w:val="00927A9F"/>
    <w:rsid w:val="009335CC"/>
    <w:rsid w:val="00935A55"/>
    <w:rsid w:val="00941CEB"/>
    <w:rsid w:val="0094720F"/>
    <w:rsid w:val="00953B28"/>
    <w:rsid w:val="00954322"/>
    <w:rsid w:val="00957CAA"/>
    <w:rsid w:val="0096778A"/>
    <w:rsid w:val="00977656"/>
    <w:rsid w:val="009777D5"/>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E48B2"/>
    <w:rsid w:val="00AF3925"/>
    <w:rsid w:val="00B1296B"/>
    <w:rsid w:val="00B2292F"/>
    <w:rsid w:val="00B43169"/>
    <w:rsid w:val="00B47379"/>
    <w:rsid w:val="00B501A8"/>
    <w:rsid w:val="00B5260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D6BFB"/>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D7A5D"/>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393E"/>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2D14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8/22/124/&#1582;&#1575;&#1585;&#1580;&#1575;" TargetMode="External"/><Relationship Id="rId2" Type="http://schemas.openxmlformats.org/officeDocument/2006/relationships/hyperlink" Target="http://lib.eshia.ir/11208/1/20/&#1607;&#1604;" TargetMode="External"/><Relationship Id="rId1" Type="http://schemas.openxmlformats.org/officeDocument/2006/relationships/hyperlink" Target="http://lib.eshia.ir/11005/1/102/" TargetMode="External"/><Relationship Id="rId5" Type="http://schemas.openxmlformats.org/officeDocument/2006/relationships/hyperlink" Target="http://lib.eshia.ir/10088/22/123/&#1601;&#1605;&#1602;&#1583;&#1605;&#1575;&#1578;" TargetMode="External"/><Relationship Id="rId4" Type="http://schemas.openxmlformats.org/officeDocument/2006/relationships/hyperlink" Target="http://lib.eshia.ir/11208/1/20/&#1576;&#1575;&#1604;&#1606;&#1587;&#1576;&#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572EA-72CA-4206-8772-2A015AA86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4</Pages>
  <Words>856</Words>
  <Characters>4882</Characters>
  <Application>Microsoft Office Word</Application>
  <DocSecurity>0</DocSecurity>
  <Lines>40</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5727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3</cp:revision>
  <cp:lastPrinted>2019-10-02T19:40:00Z</cp:lastPrinted>
  <dcterms:created xsi:type="dcterms:W3CDTF">2019-10-02T19:40:00Z</dcterms:created>
  <dcterms:modified xsi:type="dcterms:W3CDTF">2019-10-02T19:43:00Z</dcterms:modified>
  <cp:contentStatus>ویرایش 2.5</cp:contentStatus>
  <cp:version>2.7</cp:version>
</cp:coreProperties>
</file>