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C539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982735" w:history="1">
        <w:r w:rsidR="00AC539A" w:rsidRPr="00453EA4">
          <w:rPr>
            <w:rStyle w:val="Hyperlink"/>
            <w:rFonts w:hint="eastAsia"/>
            <w:noProof/>
            <w:rtl/>
          </w:rPr>
          <w:t>اخذ</w:t>
        </w:r>
        <w:r w:rsidR="00AC539A" w:rsidRPr="00453EA4">
          <w:rPr>
            <w:rStyle w:val="Hyperlink"/>
            <w:noProof/>
            <w:rtl/>
          </w:rPr>
          <w:t xml:space="preserve"> </w:t>
        </w:r>
        <w:r w:rsidR="00AC539A" w:rsidRPr="00453EA4">
          <w:rPr>
            <w:rStyle w:val="Hyperlink"/>
            <w:rFonts w:hint="eastAsia"/>
            <w:noProof/>
            <w:rtl/>
          </w:rPr>
          <w:t>اجرت</w:t>
        </w:r>
        <w:r w:rsidR="00AC539A" w:rsidRPr="00453EA4">
          <w:rPr>
            <w:rStyle w:val="Hyperlink"/>
            <w:noProof/>
            <w:rtl/>
          </w:rPr>
          <w:t xml:space="preserve"> </w:t>
        </w:r>
        <w:r w:rsidR="00AC539A" w:rsidRPr="00453EA4">
          <w:rPr>
            <w:rStyle w:val="Hyperlink"/>
            <w:rFonts w:hint="eastAsia"/>
            <w:noProof/>
            <w:rtl/>
          </w:rPr>
          <w:t>بر</w:t>
        </w:r>
        <w:r w:rsidR="00AC539A" w:rsidRPr="00453EA4">
          <w:rPr>
            <w:rStyle w:val="Hyperlink"/>
            <w:noProof/>
            <w:rtl/>
          </w:rPr>
          <w:t xml:space="preserve"> </w:t>
        </w:r>
        <w:r w:rsidR="00AC539A" w:rsidRPr="00453EA4">
          <w:rPr>
            <w:rStyle w:val="Hyperlink"/>
            <w:rFonts w:hint="eastAsia"/>
            <w:noProof/>
            <w:rtl/>
          </w:rPr>
          <w:t>حصص</w:t>
        </w:r>
        <w:r w:rsidR="00AC539A" w:rsidRPr="00453EA4">
          <w:rPr>
            <w:rStyle w:val="Hyperlink"/>
            <w:noProof/>
            <w:rtl/>
          </w:rPr>
          <w:t xml:space="preserve"> </w:t>
        </w:r>
        <w:r w:rsidR="00AC539A" w:rsidRPr="00453EA4">
          <w:rPr>
            <w:rStyle w:val="Hyperlink"/>
            <w:rFonts w:hint="eastAsia"/>
            <w:noProof/>
            <w:rtl/>
          </w:rPr>
          <w:t>قضا</w:t>
        </w:r>
        <w:r w:rsidR="00AC539A">
          <w:rPr>
            <w:noProof/>
            <w:webHidden/>
            <w:rtl/>
          </w:rPr>
          <w:tab/>
        </w:r>
        <w:r w:rsidR="00AC539A">
          <w:rPr>
            <w:noProof/>
            <w:webHidden/>
            <w:rtl/>
          </w:rPr>
          <w:fldChar w:fldCharType="begin"/>
        </w:r>
        <w:r w:rsidR="00AC539A">
          <w:rPr>
            <w:noProof/>
            <w:webHidden/>
            <w:rtl/>
          </w:rPr>
          <w:instrText xml:space="preserve"> </w:instrText>
        </w:r>
        <w:r w:rsidR="00AC539A">
          <w:rPr>
            <w:noProof/>
            <w:webHidden/>
          </w:rPr>
          <w:instrText xml:space="preserve">PAGEREF </w:instrText>
        </w:r>
        <w:r w:rsidR="00AC539A">
          <w:rPr>
            <w:noProof/>
            <w:webHidden/>
            <w:rtl/>
          </w:rPr>
          <w:instrText>_</w:instrText>
        </w:r>
        <w:r w:rsidR="00AC539A">
          <w:rPr>
            <w:noProof/>
            <w:webHidden/>
          </w:rPr>
          <w:instrText>Toc</w:instrText>
        </w:r>
        <w:r w:rsidR="00AC539A">
          <w:rPr>
            <w:noProof/>
            <w:webHidden/>
            <w:rtl/>
          </w:rPr>
          <w:instrText xml:space="preserve">20982735 </w:instrText>
        </w:r>
        <w:r w:rsidR="00AC539A">
          <w:rPr>
            <w:noProof/>
            <w:webHidden/>
          </w:rPr>
          <w:instrText>\h</w:instrText>
        </w:r>
        <w:r w:rsidR="00AC539A">
          <w:rPr>
            <w:noProof/>
            <w:webHidden/>
            <w:rtl/>
          </w:rPr>
          <w:instrText xml:space="preserve"> </w:instrText>
        </w:r>
        <w:r w:rsidR="00AC539A">
          <w:rPr>
            <w:noProof/>
            <w:webHidden/>
            <w:rtl/>
          </w:rPr>
        </w:r>
        <w:r w:rsidR="00AC539A">
          <w:rPr>
            <w:noProof/>
            <w:webHidden/>
            <w:rtl/>
          </w:rPr>
          <w:fldChar w:fldCharType="separate"/>
        </w:r>
        <w:r w:rsidR="00063E26">
          <w:rPr>
            <w:noProof/>
            <w:webHidden/>
            <w:rtl/>
          </w:rPr>
          <w:t>1</w:t>
        </w:r>
        <w:r w:rsidR="00AC539A">
          <w:rPr>
            <w:noProof/>
            <w:webHidden/>
            <w:rtl/>
          </w:rPr>
          <w:fldChar w:fldCharType="end"/>
        </w:r>
      </w:hyperlink>
    </w:p>
    <w:p w:rsidR="00AC539A" w:rsidRDefault="00063E26">
      <w:pPr>
        <w:pStyle w:val="TOC1"/>
        <w:rPr>
          <w:rFonts w:asciiTheme="minorHAnsi" w:eastAsiaTheme="minorEastAsia" w:hAnsiTheme="minorHAnsi" w:cstheme="minorBidi"/>
          <w:noProof/>
          <w:color w:val="auto"/>
          <w:szCs w:val="22"/>
          <w:rtl/>
        </w:rPr>
      </w:pPr>
      <w:hyperlink w:anchor="_Toc20982736" w:history="1">
        <w:r w:rsidR="00AC539A" w:rsidRPr="00453EA4">
          <w:rPr>
            <w:rStyle w:val="Hyperlink"/>
            <w:rFonts w:hint="eastAsia"/>
            <w:noProof/>
            <w:rtl/>
          </w:rPr>
          <w:t>کلام</w:t>
        </w:r>
        <w:r w:rsidR="00AC539A" w:rsidRPr="00453EA4">
          <w:rPr>
            <w:rStyle w:val="Hyperlink"/>
            <w:noProof/>
            <w:rtl/>
          </w:rPr>
          <w:t xml:space="preserve"> </w:t>
        </w:r>
        <w:r w:rsidR="00AC539A" w:rsidRPr="00453EA4">
          <w:rPr>
            <w:rStyle w:val="Hyperlink"/>
            <w:rFonts w:hint="eastAsia"/>
            <w:noProof/>
            <w:rtl/>
          </w:rPr>
          <w:t>مرحوم</w:t>
        </w:r>
        <w:r w:rsidR="00AC539A" w:rsidRPr="00453EA4">
          <w:rPr>
            <w:rStyle w:val="Hyperlink"/>
            <w:noProof/>
            <w:rtl/>
          </w:rPr>
          <w:t xml:space="preserve"> </w:t>
        </w:r>
        <w:r w:rsidR="00AC539A" w:rsidRPr="00453EA4">
          <w:rPr>
            <w:rStyle w:val="Hyperlink"/>
            <w:rFonts w:hint="eastAsia"/>
            <w:noProof/>
            <w:rtl/>
          </w:rPr>
          <w:t>کن</w:t>
        </w:r>
        <w:r w:rsidR="00AC539A" w:rsidRPr="00453EA4">
          <w:rPr>
            <w:rStyle w:val="Hyperlink"/>
            <w:rFonts w:hint="cs"/>
            <w:noProof/>
            <w:rtl/>
          </w:rPr>
          <w:t>ی</w:t>
        </w:r>
        <w:r w:rsidR="00AC539A" w:rsidRPr="00453EA4">
          <w:rPr>
            <w:rStyle w:val="Hyperlink"/>
            <w:noProof/>
            <w:rtl/>
          </w:rPr>
          <w:t xml:space="preserve"> </w:t>
        </w:r>
        <w:r w:rsidR="00AC539A" w:rsidRPr="00453EA4">
          <w:rPr>
            <w:rStyle w:val="Hyperlink"/>
            <w:rFonts w:hint="eastAsia"/>
            <w:noProof/>
            <w:rtl/>
          </w:rPr>
          <w:t>در</w:t>
        </w:r>
        <w:r w:rsidR="00AC539A" w:rsidRPr="00453EA4">
          <w:rPr>
            <w:rStyle w:val="Hyperlink"/>
            <w:noProof/>
            <w:rtl/>
          </w:rPr>
          <w:t xml:space="preserve"> </w:t>
        </w:r>
        <w:r w:rsidR="00AC539A" w:rsidRPr="00453EA4">
          <w:rPr>
            <w:rStyle w:val="Hyperlink"/>
            <w:rFonts w:hint="eastAsia"/>
            <w:noProof/>
            <w:rtl/>
          </w:rPr>
          <w:t>اخذ</w:t>
        </w:r>
        <w:r w:rsidR="00AC539A" w:rsidRPr="00453EA4">
          <w:rPr>
            <w:rStyle w:val="Hyperlink"/>
            <w:noProof/>
            <w:rtl/>
          </w:rPr>
          <w:t xml:space="preserve"> </w:t>
        </w:r>
        <w:r w:rsidR="00AC539A" w:rsidRPr="00453EA4">
          <w:rPr>
            <w:rStyle w:val="Hyperlink"/>
            <w:rFonts w:hint="eastAsia"/>
            <w:noProof/>
            <w:rtl/>
          </w:rPr>
          <w:t>اجرت</w:t>
        </w:r>
        <w:r w:rsidR="00AC539A" w:rsidRPr="00453EA4">
          <w:rPr>
            <w:rStyle w:val="Hyperlink"/>
            <w:noProof/>
            <w:rtl/>
          </w:rPr>
          <w:t xml:space="preserve"> </w:t>
        </w:r>
        <w:r w:rsidR="00AC539A" w:rsidRPr="00453EA4">
          <w:rPr>
            <w:rStyle w:val="Hyperlink"/>
            <w:rFonts w:hint="eastAsia"/>
            <w:noProof/>
            <w:rtl/>
          </w:rPr>
          <w:t>بر</w:t>
        </w:r>
        <w:r w:rsidR="00AC539A" w:rsidRPr="00453EA4">
          <w:rPr>
            <w:rStyle w:val="Hyperlink"/>
            <w:noProof/>
            <w:rtl/>
          </w:rPr>
          <w:t xml:space="preserve"> </w:t>
        </w:r>
        <w:r w:rsidR="00AC539A" w:rsidRPr="00453EA4">
          <w:rPr>
            <w:rStyle w:val="Hyperlink"/>
            <w:rFonts w:hint="eastAsia"/>
            <w:noProof/>
            <w:rtl/>
          </w:rPr>
          <w:t>حصص</w:t>
        </w:r>
        <w:r w:rsidR="00AC539A" w:rsidRPr="00453EA4">
          <w:rPr>
            <w:rStyle w:val="Hyperlink"/>
            <w:noProof/>
            <w:rtl/>
          </w:rPr>
          <w:t xml:space="preserve"> </w:t>
        </w:r>
        <w:r w:rsidR="00AC539A" w:rsidRPr="00453EA4">
          <w:rPr>
            <w:rStyle w:val="Hyperlink"/>
            <w:rFonts w:hint="eastAsia"/>
            <w:noProof/>
            <w:rtl/>
          </w:rPr>
          <w:t>قضا</w:t>
        </w:r>
        <w:r w:rsidR="00AC539A">
          <w:rPr>
            <w:noProof/>
            <w:webHidden/>
            <w:rtl/>
          </w:rPr>
          <w:tab/>
        </w:r>
        <w:r w:rsidR="00AC539A">
          <w:rPr>
            <w:noProof/>
            <w:webHidden/>
            <w:rtl/>
          </w:rPr>
          <w:fldChar w:fldCharType="begin"/>
        </w:r>
        <w:r w:rsidR="00AC539A">
          <w:rPr>
            <w:noProof/>
            <w:webHidden/>
            <w:rtl/>
          </w:rPr>
          <w:instrText xml:space="preserve"> </w:instrText>
        </w:r>
        <w:r w:rsidR="00AC539A">
          <w:rPr>
            <w:noProof/>
            <w:webHidden/>
          </w:rPr>
          <w:instrText xml:space="preserve">PAGEREF </w:instrText>
        </w:r>
        <w:r w:rsidR="00AC539A">
          <w:rPr>
            <w:noProof/>
            <w:webHidden/>
            <w:rtl/>
          </w:rPr>
          <w:instrText>_</w:instrText>
        </w:r>
        <w:r w:rsidR="00AC539A">
          <w:rPr>
            <w:noProof/>
            <w:webHidden/>
          </w:rPr>
          <w:instrText>Toc</w:instrText>
        </w:r>
        <w:r w:rsidR="00AC539A">
          <w:rPr>
            <w:noProof/>
            <w:webHidden/>
            <w:rtl/>
          </w:rPr>
          <w:instrText xml:space="preserve">20982736 </w:instrText>
        </w:r>
        <w:r w:rsidR="00AC539A">
          <w:rPr>
            <w:noProof/>
            <w:webHidden/>
          </w:rPr>
          <w:instrText>\h</w:instrText>
        </w:r>
        <w:r w:rsidR="00AC539A">
          <w:rPr>
            <w:noProof/>
            <w:webHidden/>
            <w:rtl/>
          </w:rPr>
          <w:instrText xml:space="preserve"> </w:instrText>
        </w:r>
        <w:r w:rsidR="00AC539A">
          <w:rPr>
            <w:noProof/>
            <w:webHidden/>
            <w:rtl/>
          </w:rPr>
        </w:r>
        <w:r w:rsidR="00AC539A">
          <w:rPr>
            <w:noProof/>
            <w:webHidden/>
            <w:rtl/>
          </w:rPr>
          <w:fldChar w:fldCharType="separate"/>
        </w:r>
        <w:r>
          <w:rPr>
            <w:noProof/>
            <w:webHidden/>
            <w:rtl/>
          </w:rPr>
          <w:t>1</w:t>
        </w:r>
        <w:r w:rsidR="00AC539A">
          <w:rPr>
            <w:noProof/>
            <w:webHidden/>
            <w:rtl/>
          </w:rPr>
          <w:fldChar w:fldCharType="end"/>
        </w:r>
      </w:hyperlink>
    </w:p>
    <w:p w:rsidR="00AC539A" w:rsidRDefault="00063E26">
      <w:pPr>
        <w:pStyle w:val="TOC2"/>
        <w:tabs>
          <w:tab w:val="right" w:leader="dot" w:pos="10194"/>
        </w:tabs>
        <w:rPr>
          <w:rFonts w:asciiTheme="minorHAnsi" w:eastAsiaTheme="minorEastAsia" w:hAnsiTheme="minorHAnsi" w:cstheme="minorBidi"/>
          <w:bCs w:val="0"/>
          <w:noProof/>
          <w:color w:val="auto"/>
          <w:szCs w:val="22"/>
          <w:rtl/>
        </w:rPr>
      </w:pPr>
      <w:hyperlink w:anchor="_Toc20982737" w:history="1">
        <w:r w:rsidR="00AC539A" w:rsidRPr="00453EA4">
          <w:rPr>
            <w:rStyle w:val="Hyperlink"/>
            <w:rFonts w:hint="eastAsia"/>
            <w:noProof/>
            <w:rtl/>
          </w:rPr>
          <w:t>اشکال</w:t>
        </w:r>
        <w:r w:rsidR="00AC539A" w:rsidRPr="00453EA4">
          <w:rPr>
            <w:rStyle w:val="Hyperlink"/>
            <w:noProof/>
            <w:rtl/>
          </w:rPr>
          <w:t xml:space="preserve"> </w:t>
        </w:r>
        <w:r w:rsidR="00AC539A" w:rsidRPr="00453EA4">
          <w:rPr>
            <w:rStyle w:val="Hyperlink"/>
            <w:rFonts w:hint="eastAsia"/>
            <w:noProof/>
            <w:rtl/>
          </w:rPr>
          <w:t>به</w:t>
        </w:r>
        <w:r w:rsidR="00AC539A" w:rsidRPr="00453EA4">
          <w:rPr>
            <w:rStyle w:val="Hyperlink"/>
            <w:noProof/>
            <w:rtl/>
          </w:rPr>
          <w:t xml:space="preserve"> </w:t>
        </w:r>
        <w:r w:rsidR="00AC539A" w:rsidRPr="00453EA4">
          <w:rPr>
            <w:rStyle w:val="Hyperlink"/>
            <w:rFonts w:hint="eastAsia"/>
            <w:noProof/>
            <w:rtl/>
          </w:rPr>
          <w:t>کلام</w:t>
        </w:r>
        <w:r w:rsidR="00AC539A" w:rsidRPr="00453EA4">
          <w:rPr>
            <w:rStyle w:val="Hyperlink"/>
            <w:noProof/>
            <w:rtl/>
          </w:rPr>
          <w:t xml:space="preserve"> </w:t>
        </w:r>
        <w:r w:rsidR="00AC539A" w:rsidRPr="00453EA4">
          <w:rPr>
            <w:rStyle w:val="Hyperlink"/>
            <w:rFonts w:hint="eastAsia"/>
            <w:noProof/>
            <w:rtl/>
          </w:rPr>
          <w:t>مرحوم</w:t>
        </w:r>
        <w:r w:rsidR="00AC539A" w:rsidRPr="00453EA4">
          <w:rPr>
            <w:rStyle w:val="Hyperlink"/>
            <w:noProof/>
            <w:rtl/>
          </w:rPr>
          <w:t xml:space="preserve"> </w:t>
        </w:r>
        <w:r w:rsidR="00AC539A" w:rsidRPr="00453EA4">
          <w:rPr>
            <w:rStyle w:val="Hyperlink"/>
            <w:rFonts w:hint="eastAsia"/>
            <w:noProof/>
            <w:rtl/>
          </w:rPr>
          <w:t>کن</w:t>
        </w:r>
        <w:r w:rsidR="00AC539A" w:rsidRPr="00453EA4">
          <w:rPr>
            <w:rStyle w:val="Hyperlink"/>
            <w:rFonts w:hint="cs"/>
            <w:noProof/>
            <w:rtl/>
          </w:rPr>
          <w:t>ی</w:t>
        </w:r>
        <w:r w:rsidR="00AC539A">
          <w:rPr>
            <w:noProof/>
            <w:webHidden/>
            <w:rtl/>
          </w:rPr>
          <w:tab/>
        </w:r>
        <w:r w:rsidR="00AC539A">
          <w:rPr>
            <w:noProof/>
            <w:webHidden/>
            <w:rtl/>
          </w:rPr>
          <w:fldChar w:fldCharType="begin"/>
        </w:r>
        <w:r w:rsidR="00AC539A">
          <w:rPr>
            <w:noProof/>
            <w:webHidden/>
            <w:rtl/>
          </w:rPr>
          <w:instrText xml:space="preserve"> </w:instrText>
        </w:r>
        <w:r w:rsidR="00AC539A">
          <w:rPr>
            <w:noProof/>
            <w:webHidden/>
          </w:rPr>
          <w:instrText xml:space="preserve">PAGEREF </w:instrText>
        </w:r>
        <w:r w:rsidR="00AC539A">
          <w:rPr>
            <w:noProof/>
            <w:webHidden/>
            <w:rtl/>
          </w:rPr>
          <w:instrText>_</w:instrText>
        </w:r>
        <w:r w:rsidR="00AC539A">
          <w:rPr>
            <w:noProof/>
            <w:webHidden/>
          </w:rPr>
          <w:instrText>Toc</w:instrText>
        </w:r>
        <w:r w:rsidR="00AC539A">
          <w:rPr>
            <w:noProof/>
            <w:webHidden/>
            <w:rtl/>
          </w:rPr>
          <w:instrText xml:space="preserve">20982737 </w:instrText>
        </w:r>
        <w:r w:rsidR="00AC539A">
          <w:rPr>
            <w:noProof/>
            <w:webHidden/>
          </w:rPr>
          <w:instrText>\h</w:instrText>
        </w:r>
        <w:r w:rsidR="00AC539A">
          <w:rPr>
            <w:noProof/>
            <w:webHidden/>
            <w:rtl/>
          </w:rPr>
          <w:instrText xml:space="preserve"> </w:instrText>
        </w:r>
        <w:r w:rsidR="00AC539A">
          <w:rPr>
            <w:noProof/>
            <w:webHidden/>
            <w:rtl/>
          </w:rPr>
        </w:r>
        <w:r w:rsidR="00AC539A">
          <w:rPr>
            <w:noProof/>
            <w:webHidden/>
            <w:rtl/>
          </w:rPr>
          <w:fldChar w:fldCharType="separate"/>
        </w:r>
        <w:r>
          <w:rPr>
            <w:noProof/>
            <w:webHidden/>
            <w:rtl/>
          </w:rPr>
          <w:t>2</w:t>
        </w:r>
        <w:r w:rsidR="00AC539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90695">
        <w:rPr>
          <w:rFonts w:hint="cs"/>
          <w:rtl/>
        </w:rPr>
        <w:t>احکام</w:t>
      </w:r>
      <w:r w:rsidR="00690695">
        <w:rPr>
          <w:rtl/>
        </w:rPr>
        <w:t xml:space="preserve"> </w:t>
      </w:r>
      <w:r w:rsidR="00690695">
        <w:rPr>
          <w:rFonts w:hint="cs"/>
          <w:rtl/>
        </w:rPr>
        <w:t>القضا</w:t>
      </w:r>
      <w:r w:rsidR="00025B70">
        <w:rPr>
          <w:rFonts w:hint="cs"/>
          <w:rtl/>
        </w:rPr>
        <w:t xml:space="preserve"> </w:t>
      </w:r>
      <w:r w:rsidR="00386C11" w:rsidRPr="00A6366F">
        <w:rPr>
          <w:rFonts w:hint="cs"/>
          <w:rtl/>
        </w:rPr>
        <w:t>/</w:t>
      </w:r>
      <w:bookmarkStart w:id="1" w:name="BokSabj_d"/>
      <w:bookmarkEnd w:id="1"/>
      <w:r w:rsidR="00690695">
        <w:rPr>
          <w:rFonts w:hint="cs"/>
          <w:rtl/>
        </w:rPr>
        <w:t>القضا</w:t>
      </w:r>
      <w:r w:rsidR="00386C11" w:rsidRPr="00A6366F">
        <w:rPr>
          <w:rFonts w:hint="cs"/>
          <w:rtl/>
        </w:rPr>
        <w:t xml:space="preserve"> /</w:t>
      </w:r>
      <w:bookmarkStart w:id="2" w:name="Bokkolli"/>
      <w:bookmarkEnd w:id="2"/>
      <w:r w:rsidR="00690695">
        <w:rPr>
          <w:rFonts w:hint="cs"/>
          <w:rtl/>
        </w:rPr>
        <w:t>کتاب</w:t>
      </w:r>
      <w:r w:rsidR="00690695">
        <w:rPr>
          <w:rtl/>
        </w:rPr>
        <w:t xml:space="preserve"> </w:t>
      </w:r>
      <w:r w:rsidR="00690695">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C5FA2" w:rsidRDefault="005C5FA2" w:rsidP="00AF1EA1">
      <w:pPr>
        <w:jc w:val="both"/>
        <w:rPr>
          <w:rtl/>
        </w:rPr>
      </w:pPr>
      <w:r>
        <w:rPr>
          <w:rFonts w:hint="cs"/>
          <w:rtl/>
        </w:rPr>
        <w:t xml:space="preserve">بحث در اخذ اجرت بر قضا منتهی شد به حرمت اخذ اجرت در ملابسات قضا. گفتیم </w:t>
      </w:r>
      <w:r w:rsidR="00AF1EA1">
        <w:rPr>
          <w:rFonts w:hint="cs"/>
          <w:rtl/>
        </w:rPr>
        <w:t>اجرت بر</w:t>
      </w:r>
      <w:r>
        <w:rPr>
          <w:rFonts w:hint="cs"/>
          <w:rtl/>
        </w:rPr>
        <w:t xml:space="preserve"> قضا چهار قسم </w:t>
      </w:r>
      <w:r w:rsidR="00AF1EA1">
        <w:rPr>
          <w:rFonts w:hint="cs"/>
          <w:rtl/>
        </w:rPr>
        <w:t>دارد</w:t>
      </w:r>
      <w:r>
        <w:rPr>
          <w:rFonts w:hint="cs"/>
          <w:rtl/>
        </w:rPr>
        <w:t xml:space="preserve"> که حکم سه قسم آن گذشت. حکم اخذ اجرت نسبت به خود قضا بیان شد. ملابسات قضا هم گاهی از امور غیر دخیل در قضا است مانند کتابت که حکم آن گذشت. گاهی هم اخذ اجرت بر مقدمات قضاست که قضا عقلا منوط به آنهاست مثل طلب احضار بینه و احلاف که این قسم هم حکمش بیان شد. قسم چهارم اخذ اجرت بر حصص قضاست.</w:t>
      </w:r>
    </w:p>
    <w:p w:rsidR="005C5FA2" w:rsidRDefault="005C5FA2" w:rsidP="005C5FA2">
      <w:pPr>
        <w:pStyle w:val="Heading1"/>
        <w:rPr>
          <w:rtl/>
        </w:rPr>
      </w:pPr>
      <w:bookmarkStart w:id="3" w:name="_Toc20982735"/>
      <w:r>
        <w:rPr>
          <w:rFonts w:hint="cs"/>
          <w:rtl/>
        </w:rPr>
        <w:t>اخذ اجرت بر حصص قضا</w:t>
      </w:r>
      <w:bookmarkEnd w:id="3"/>
    </w:p>
    <w:p w:rsidR="005C5FA2" w:rsidRDefault="005C5FA2" w:rsidP="005C5FA2">
      <w:pPr>
        <w:jc w:val="both"/>
        <w:rPr>
          <w:rtl/>
        </w:rPr>
      </w:pPr>
      <w:r>
        <w:rPr>
          <w:rFonts w:hint="cs"/>
          <w:rtl/>
        </w:rPr>
        <w:t xml:space="preserve"> مرحوم صاحب جواهر</w:t>
      </w:r>
      <w:r>
        <w:rPr>
          <w:rStyle w:val="FootnoteReference"/>
          <w:rtl/>
        </w:rPr>
        <w:footnoteReference w:id="1"/>
      </w:r>
      <w:r>
        <w:rPr>
          <w:rFonts w:hint="cs"/>
          <w:rtl/>
        </w:rPr>
        <w:t xml:space="preserve"> از این حصص قضا تعبیر کرده است به قضا در فلان مکان و فلان زمان. آن چیزی که بر قاضی واجب است حکم کردن است یعنی جامع حکم کردن ولی حصص </w:t>
      </w:r>
      <w:r w:rsidR="00AF1EA1">
        <w:rPr>
          <w:rFonts w:hint="cs"/>
          <w:rtl/>
        </w:rPr>
        <w:t xml:space="preserve">آن </w:t>
      </w:r>
      <w:r>
        <w:rPr>
          <w:rFonts w:hint="cs"/>
          <w:rtl/>
        </w:rPr>
        <w:t>مانند اینکه حکم کردن باید در محکمه باشد</w:t>
      </w:r>
      <w:r w:rsidR="00AF1EA1">
        <w:rPr>
          <w:rFonts w:hint="cs"/>
          <w:rtl/>
        </w:rPr>
        <w:t>،</w:t>
      </w:r>
      <w:r>
        <w:rPr>
          <w:rFonts w:hint="cs"/>
          <w:rtl/>
        </w:rPr>
        <w:t xml:space="preserve"> بر او واجب نیست. به همین خاطر صاحب جواهر فرمود که اخذ اجرت بر حصص شایسته نیست به دلیل اینکه معرضیت برای تنفر مردم از این منصب دارد و این منصب، منصب انبیا است. این اجرت مکروه است مانند حیل ربا که هر چند پولی که از این طریق به دست می آید حرام نیست ولی کراهت دارد.</w:t>
      </w:r>
    </w:p>
    <w:p w:rsidR="005C5FA2" w:rsidRDefault="005C5FA2" w:rsidP="005C5FA2">
      <w:pPr>
        <w:pStyle w:val="Heading1"/>
        <w:rPr>
          <w:rtl/>
        </w:rPr>
      </w:pPr>
      <w:bookmarkStart w:id="4" w:name="_Toc20982736"/>
      <w:r>
        <w:rPr>
          <w:rFonts w:hint="cs"/>
          <w:rtl/>
        </w:rPr>
        <w:t>کلام مرحوم کنی در اخذ اجرت بر حصص قضا</w:t>
      </w:r>
      <w:bookmarkEnd w:id="4"/>
    </w:p>
    <w:p w:rsidR="005C5FA2" w:rsidRDefault="005C5FA2" w:rsidP="009E2628">
      <w:pPr>
        <w:jc w:val="both"/>
        <w:rPr>
          <w:rtl/>
        </w:rPr>
      </w:pPr>
      <w:r>
        <w:rPr>
          <w:rFonts w:hint="cs"/>
          <w:rtl/>
        </w:rPr>
        <w:t xml:space="preserve"> مرحوم کنی بعد از نقل کلام صاحب جواهر فرموده است که این کلام صاحب جواهر صحیح نیست زیرا اخذ اجرت بر حصص قضا هم حرام است. </w:t>
      </w:r>
      <w:r w:rsidR="009E2628">
        <w:rPr>
          <w:rFonts w:hint="cs"/>
          <w:rtl/>
        </w:rPr>
        <w:t xml:space="preserve">به نظر میرسد </w:t>
      </w:r>
      <w:r>
        <w:rPr>
          <w:rFonts w:hint="cs"/>
          <w:rtl/>
        </w:rPr>
        <w:t>ایشان در ابتدا می خواهد بگوید حرمت اخذ اجرت بر حصه مبتنی بر این است که افراد با خصوصیات و عوارض مأمور به هستند. ایشان سه مبنا در متعلق اوامر مطرح می کند که عبارتند از: 1. متعلق امر</w:t>
      </w:r>
      <w:r w:rsidR="00AF1EA1">
        <w:rPr>
          <w:rFonts w:hint="cs"/>
          <w:rtl/>
        </w:rPr>
        <w:t>،</w:t>
      </w:r>
      <w:r>
        <w:rPr>
          <w:rFonts w:hint="cs"/>
          <w:rtl/>
        </w:rPr>
        <w:t xml:space="preserve"> طبیعت و ماهیت است به گونه ای که اگر امتثال امر مولی به اتیان صرف طبعیت ممکن بود واجب همین مقدار بود لکن هیچ ماهیتی در خارج منفک از مشخصات نیست ولی امر به ماهیت تعلق گرفته است و نه </w:t>
      </w:r>
      <w:r w:rsidR="00AF1EA1">
        <w:rPr>
          <w:rFonts w:hint="cs"/>
          <w:rtl/>
        </w:rPr>
        <w:t xml:space="preserve">به </w:t>
      </w:r>
      <w:r>
        <w:rPr>
          <w:rFonts w:hint="cs"/>
          <w:rtl/>
        </w:rPr>
        <w:t xml:space="preserve">زائد بر آن. 2. امر به فرد تعلق گرفته است اما </w:t>
      </w:r>
      <w:r>
        <w:rPr>
          <w:rFonts w:hint="cs"/>
          <w:rtl/>
        </w:rPr>
        <w:lastRenderedPageBreak/>
        <w:t xml:space="preserve">فرد ماهیت نه فرد مشتمل بر خصوصیت. </w:t>
      </w:r>
      <w:r w:rsidR="00AF1EA1">
        <w:rPr>
          <w:rFonts w:hint="cs"/>
          <w:rtl/>
        </w:rPr>
        <w:t>یعنی</w:t>
      </w:r>
      <w:r>
        <w:rPr>
          <w:rFonts w:hint="cs"/>
          <w:rtl/>
        </w:rPr>
        <w:t xml:space="preserve"> مطلوب از امر</w:t>
      </w:r>
      <w:r w:rsidR="00AF1EA1">
        <w:rPr>
          <w:rFonts w:hint="cs"/>
          <w:rtl/>
        </w:rPr>
        <w:t>، فردی از نماز</w:t>
      </w:r>
      <w:r>
        <w:rPr>
          <w:rFonts w:hint="cs"/>
          <w:rtl/>
        </w:rPr>
        <w:t xml:space="preserve"> است اما نه مثلا فلان فرد خاص. 3. مأمور به فرد با تمام خصوصیات است مثلا نمازی که در مسجد می خواند فرد مأمور به است</w:t>
      </w:r>
      <w:r w:rsidR="00AD47AC">
        <w:rPr>
          <w:rFonts w:hint="cs"/>
          <w:rtl/>
        </w:rPr>
        <w:t xml:space="preserve"> </w:t>
      </w:r>
      <w:r>
        <w:rPr>
          <w:rFonts w:hint="cs"/>
          <w:rtl/>
        </w:rPr>
        <w:t xml:space="preserve">(یعنی حصص). طبق مبنای سوم اخذ اجرت بر حصه جایز نیست چون طبق این مبنا مامور به جامع نیست بلکه فردی از جامع با خصوصیات مقارن با آن است. لکن ایشان فرموده است طبق هر سه مبنا اخذ اجرت بر حصص جایز نیست زیرا واجب منفک از حصه نیست و قاضی یا در محکمه حکم می کند و یا در منزل و یا جای دیگر و یا در فلان زمان و... اگر بنا شد که قضاوت خالی از خصوصیات نباشد مانند مقدمه واجب است و به همان نکته ای که اخذ اجرت بر مقدمه حرام </w:t>
      </w:r>
      <w:r w:rsidR="00AD47AC">
        <w:rPr>
          <w:rFonts w:hint="cs"/>
          <w:rtl/>
        </w:rPr>
        <w:t>بود که آن نکته عدم امکان قضا بدو</w:t>
      </w:r>
      <w:r>
        <w:rPr>
          <w:rFonts w:hint="cs"/>
          <w:rtl/>
        </w:rPr>
        <w:t xml:space="preserve">ن انجام مقدمات بود در حصص هم همین طور است. زیرا طبیعت قضا در خارج وجودی جدای از وجود حصص ندارد. پس اخذ اجرت بر </w:t>
      </w:r>
      <w:r w:rsidR="00945A51">
        <w:rPr>
          <w:rFonts w:hint="cs"/>
          <w:rtl/>
        </w:rPr>
        <w:t>حصص هم جایز نیست.</w:t>
      </w:r>
    </w:p>
    <w:p w:rsidR="005C5FA2" w:rsidRDefault="005C5FA2" w:rsidP="005C5FA2">
      <w:pPr>
        <w:pStyle w:val="Heading2"/>
        <w:rPr>
          <w:rtl/>
        </w:rPr>
      </w:pPr>
      <w:bookmarkStart w:id="5" w:name="_Toc20982737"/>
      <w:r>
        <w:rPr>
          <w:rFonts w:hint="cs"/>
          <w:rtl/>
        </w:rPr>
        <w:t>اشکال به کلام مرحوم کنی</w:t>
      </w:r>
      <w:bookmarkEnd w:id="5"/>
    </w:p>
    <w:p w:rsidR="005C5FA2" w:rsidRDefault="005C5FA2" w:rsidP="00745305">
      <w:pPr>
        <w:jc w:val="both"/>
        <w:rPr>
          <w:rtl/>
        </w:rPr>
      </w:pPr>
      <w:r w:rsidRPr="005C5FA2">
        <w:rPr>
          <w:rFonts w:hint="cs"/>
          <w:highlight w:val="yellow"/>
          <w:rtl/>
        </w:rPr>
        <w:t xml:space="preserve">عرض ما به </w:t>
      </w:r>
      <w:r>
        <w:rPr>
          <w:rFonts w:hint="cs"/>
          <w:rtl/>
        </w:rPr>
        <w:t xml:space="preserve">کلام ایشان این است که باید قضیه‌ی اخذ اجرت بر حصص را با ادله حرمت اخذ اجرت بر قضا بسنجیم و ببینیم ایا آن مقدمات در این جا تمام هست یا نه. وجوهی که در آن مقام بیان شد را نپذیرفتیم و روایات خاصه را هم تشکیک کردیم در نتیجه به نظرما همه وجوه وقتی در آن مقام تمام نبود اینجا هم تمام نیست. ولی اگر کسی آن وجوه را پذیرفت باید بررسی کند که آیا آن وجوه در بحث اخذ اجرت بر حصص هم جریان دارد یا نه؟ در بحث مقدمات قضا گفتیم اگر کسی آن وجوه را بپذیرد در نتیجه اخذ اجرت بر مقدمات قضا هم حرام است همان طور که مرحوم صاحب جواهر قول به حرمت اخذ اجرت بر مقدمات قضا را اختیار کرد. </w:t>
      </w:r>
      <w:r w:rsidR="00745305">
        <w:rPr>
          <w:rFonts w:hint="cs"/>
          <w:rtl/>
        </w:rPr>
        <w:t>حتی</w:t>
      </w:r>
      <w:r>
        <w:rPr>
          <w:rFonts w:hint="cs"/>
          <w:rtl/>
        </w:rPr>
        <w:t xml:space="preserve"> </w:t>
      </w:r>
      <w:r w:rsidR="007579D8">
        <w:rPr>
          <w:rFonts w:hint="cs"/>
          <w:rtl/>
        </w:rPr>
        <w:t>اگر</w:t>
      </w:r>
      <w:r>
        <w:rPr>
          <w:rFonts w:hint="cs"/>
          <w:rtl/>
        </w:rPr>
        <w:t xml:space="preserve"> اخذ اجرت بر مقدمات جایز نباشد تلازمی با عدم جواز اخذ اجرت بر حصص ندارد. </w:t>
      </w:r>
    </w:p>
    <w:p w:rsidR="005C5FA2" w:rsidRDefault="005C5FA2" w:rsidP="00745305">
      <w:pPr>
        <w:jc w:val="both"/>
        <w:rPr>
          <w:rtl/>
        </w:rPr>
      </w:pPr>
      <w:r>
        <w:rPr>
          <w:rFonts w:hint="cs"/>
          <w:rtl/>
        </w:rPr>
        <w:t>به نظر ما باید بین آن وجوه برای استنباط حکم جواز اخذ اجرت بر حصص قضا تفصیل داد به این صورت که مدرک ما برای عدم جواز اخذ اجرت بر قضا اگر وجوهی که در قاعده اولیه بیان کردیم باشد فرق دارد با اینکه مدرک ما نصوص خاصه باشد. توضیح مطلب این است که چهار وجه برای عدم جواز اخذ اجرت ب</w:t>
      </w:r>
      <w:r w:rsidR="00745305">
        <w:rPr>
          <w:rFonts w:hint="cs"/>
          <w:rtl/>
        </w:rPr>
        <w:t>ر قضا بیان شد که عبارت بودند از</w:t>
      </w:r>
      <w:r>
        <w:rPr>
          <w:rFonts w:hint="cs"/>
          <w:rtl/>
        </w:rPr>
        <w:t xml:space="preserve">: 1. اجتماع دو مالک بر شی واحد جایز نیست. 2. شی ای که مورد ملکیت باشد باید حقی تولید کند در حالی که در بحث واجبات حقی برای مستاجر به وجود نمی آید </w:t>
      </w:r>
      <w:r w:rsidR="00745305">
        <w:rPr>
          <w:rFonts w:hint="cs"/>
          <w:rtl/>
        </w:rPr>
        <w:t>به جهت اینکه</w:t>
      </w:r>
      <w:r>
        <w:rPr>
          <w:rFonts w:hint="cs"/>
          <w:rtl/>
        </w:rPr>
        <w:t xml:space="preserve"> چه اجاره ای باشد چه نباشد باید این کار را انجام دهد. 3. مستاجر اگر  بخواهد مالک شود باید اجیر سلطنت بر ترک آن فعل داشته باشد و در بحث واجب چون اجیر سلطنتی بر ترک فعل ندارد اجاره کردن</w:t>
      </w:r>
      <w:r w:rsidR="00745305">
        <w:rPr>
          <w:rFonts w:hint="cs"/>
          <w:rtl/>
        </w:rPr>
        <w:t>،</w:t>
      </w:r>
      <w:r>
        <w:rPr>
          <w:rFonts w:hint="cs"/>
          <w:rtl/>
        </w:rPr>
        <w:t xml:space="preserve"> مصداق امر غیر مقدور است. یعنی اجاره بر فعلی </w:t>
      </w:r>
      <w:r w:rsidR="00745305">
        <w:rPr>
          <w:rFonts w:hint="cs"/>
          <w:rtl/>
        </w:rPr>
        <w:t xml:space="preserve">است </w:t>
      </w:r>
      <w:r>
        <w:rPr>
          <w:rFonts w:hint="cs"/>
          <w:rtl/>
        </w:rPr>
        <w:t xml:space="preserve">که </w:t>
      </w:r>
      <w:r w:rsidR="00745305">
        <w:rPr>
          <w:rFonts w:hint="cs"/>
          <w:rtl/>
        </w:rPr>
        <w:t xml:space="preserve">به هر حال </w:t>
      </w:r>
      <w:r>
        <w:rPr>
          <w:rFonts w:hint="cs"/>
          <w:rtl/>
        </w:rPr>
        <w:t>باید انجام بشود و اجیر قدرت بر ترک ندارد</w:t>
      </w:r>
      <w:r w:rsidR="00745305">
        <w:rPr>
          <w:rFonts w:hint="cs"/>
          <w:rtl/>
        </w:rPr>
        <w:t>.</w:t>
      </w:r>
      <w:r>
        <w:rPr>
          <w:rFonts w:hint="cs"/>
          <w:rtl/>
        </w:rPr>
        <w:t xml:space="preserve"> 4. وجه دیگر در کلام مرحوم کنی بود که گفت انصراف اطلاق ادله واجبات این است که آن افعال مجانا انجام شود. </w:t>
      </w:r>
    </w:p>
    <w:p w:rsidR="005C5FA2" w:rsidRDefault="005C5FA2" w:rsidP="00745305">
      <w:pPr>
        <w:jc w:val="both"/>
        <w:rPr>
          <w:rtl/>
        </w:rPr>
      </w:pPr>
      <w:r>
        <w:rPr>
          <w:rFonts w:hint="cs"/>
          <w:rtl/>
        </w:rPr>
        <w:lastRenderedPageBreak/>
        <w:t>به نظر ما هیچ کدام از این وجوه اقتضای حرمت اخذ اجرت بر حصص قضا را ندارد. اینکه گفتید در باب اجاره  باید مستاجر سلطنت داشته باشد و وقتی سلطنت بر فعل و ترک نداشت و باید انجام دهد پس اجیر گرفتن در واقع استخدام شخص است بر امر غیر مقدور</w:t>
      </w:r>
      <w:r w:rsidR="00745305">
        <w:rPr>
          <w:rFonts w:hint="cs"/>
          <w:rtl/>
        </w:rPr>
        <w:t>است؛</w:t>
      </w:r>
      <w:r>
        <w:rPr>
          <w:rFonts w:hint="cs"/>
          <w:rtl/>
        </w:rPr>
        <w:t xml:space="preserve"> این وجه صحیح نیست زیرا قاضی سلطنت بر ترک حصه دارد</w:t>
      </w:r>
      <w:r w:rsidR="00745305">
        <w:rPr>
          <w:rFonts w:hint="cs"/>
          <w:rtl/>
        </w:rPr>
        <w:t>.</w:t>
      </w:r>
      <w:r>
        <w:rPr>
          <w:rFonts w:hint="cs"/>
          <w:rtl/>
        </w:rPr>
        <w:t xml:space="preserve"> بله سلطنت بر جامع ندارد و باید حتما قضاوت کند و سلطنت بر ترک ندارد ولی قاضی سلطنت بر ترک قضاوت در محکمه را دارد. </w:t>
      </w:r>
    </w:p>
    <w:p w:rsidR="005C5FA2" w:rsidRDefault="005C5FA2" w:rsidP="000672B3">
      <w:pPr>
        <w:jc w:val="both"/>
        <w:rPr>
          <w:rtl/>
        </w:rPr>
      </w:pPr>
      <w:r>
        <w:rPr>
          <w:rFonts w:hint="cs"/>
          <w:rtl/>
        </w:rPr>
        <w:t xml:space="preserve">وجه </w:t>
      </w:r>
      <w:r w:rsidR="00745305">
        <w:rPr>
          <w:rFonts w:hint="cs"/>
          <w:rtl/>
        </w:rPr>
        <w:t xml:space="preserve">دیگر </w:t>
      </w:r>
      <w:r>
        <w:rPr>
          <w:rFonts w:hint="cs"/>
          <w:rtl/>
        </w:rPr>
        <w:t xml:space="preserve">هم که اجتماع مالکین در صورت اجاره بر واجبات </w:t>
      </w:r>
      <w:r w:rsidR="00745305">
        <w:rPr>
          <w:rFonts w:hint="cs"/>
          <w:rtl/>
        </w:rPr>
        <w:t>بود</w:t>
      </w:r>
      <w:r>
        <w:rPr>
          <w:rFonts w:hint="cs"/>
          <w:rtl/>
        </w:rPr>
        <w:t xml:space="preserve"> در بحث حصص وجود ندارد زیرا در این بحث خدا مالک جامع است و مستاجر او را برای حصص اجیر می ک</w:t>
      </w:r>
      <w:r w:rsidR="000672B3">
        <w:rPr>
          <w:rFonts w:hint="cs"/>
          <w:rtl/>
        </w:rPr>
        <w:t>ند و اینجا اجتماع مالکین نیست.</w:t>
      </w:r>
      <w:r>
        <w:rPr>
          <w:rFonts w:hint="cs"/>
          <w:rtl/>
        </w:rPr>
        <w:t xml:space="preserve"> این وجه که با اجاره حقی تولید نمی شود چون تخلف از واجب بر عبد جایز نیست هم مردود است زیرا آن چیزی که اجیر نمی تواند </w:t>
      </w:r>
      <w:r w:rsidR="000672B3">
        <w:rPr>
          <w:rFonts w:hint="cs"/>
          <w:rtl/>
        </w:rPr>
        <w:t>تخلف کند جامع قضاست نه حصص آن؛</w:t>
      </w:r>
      <w:r>
        <w:rPr>
          <w:rFonts w:hint="cs"/>
          <w:rtl/>
        </w:rPr>
        <w:t xml:space="preserve"> قاضی از حصص می تواند تخلف کند. نسبت به وجهی که مرحوم کنی گفت</w:t>
      </w:r>
      <w:r w:rsidR="000672B3">
        <w:rPr>
          <w:rFonts w:hint="cs"/>
          <w:rtl/>
        </w:rPr>
        <w:t>،</w:t>
      </w:r>
      <w:r>
        <w:rPr>
          <w:rFonts w:hint="cs"/>
          <w:rtl/>
        </w:rPr>
        <w:t xml:space="preserve"> آن وجه هم تمام نیست زیرا طبق بیان ایشان ظاهر امر این است که باید مامور به را مجانا انجام دهد ولی آن چیزی که</w:t>
      </w:r>
      <w:r w:rsidR="000672B3">
        <w:rPr>
          <w:rFonts w:hint="cs"/>
          <w:rtl/>
        </w:rPr>
        <w:t xml:space="preserve"> مامور به نیست چطور؟ در بحث ما آ</w:t>
      </w:r>
      <w:r>
        <w:rPr>
          <w:rFonts w:hint="cs"/>
          <w:rtl/>
        </w:rPr>
        <w:t xml:space="preserve">ن چیزی که واجب است اصل قضاست و حصص که مامور به نیستند. ایشان </w:t>
      </w:r>
      <w:r w:rsidR="000672B3">
        <w:rPr>
          <w:rFonts w:hint="cs"/>
          <w:rtl/>
        </w:rPr>
        <w:t xml:space="preserve">باید </w:t>
      </w:r>
      <w:r>
        <w:rPr>
          <w:rFonts w:hint="cs"/>
          <w:rtl/>
        </w:rPr>
        <w:t xml:space="preserve">ادعای انصراف کند و بگوید مراد از اطلاق ادله اعم از خود مامور به و حصص است که این هم ادعای بدون دلیل است. </w:t>
      </w:r>
    </w:p>
    <w:p w:rsidR="005C5FA2" w:rsidRDefault="005C5FA2" w:rsidP="00AC539A">
      <w:pPr>
        <w:jc w:val="both"/>
        <w:rPr>
          <w:rtl/>
        </w:rPr>
      </w:pPr>
      <w:r>
        <w:rPr>
          <w:rFonts w:hint="cs"/>
          <w:rtl/>
        </w:rPr>
        <w:t>اما اگر دلیل ما نصوص خاصه باشد که در آن آمده بود «</w:t>
      </w:r>
      <w:r w:rsidRPr="00C6476E">
        <w:rPr>
          <w:rFonts w:ascii="Tahoma" w:hAnsi="Tahoma"/>
          <w:color w:val="008000"/>
          <w:shd w:val="clear" w:color="auto" w:fill="FFFFFF"/>
          <w:rtl/>
        </w:rPr>
        <w:t xml:space="preserve"> </w:t>
      </w:r>
      <w:r w:rsidRPr="000A249B">
        <w:rPr>
          <w:rFonts w:ascii="Tahoma" w:hAnsi="Tahoma"/>
          <w:color w:val="008000"/>
          <w:shd w:val="clear" w:color="auto" w:fill="FFFFFF"/>
          <w:rtl/>
        </w:rPr>
        <w:t>مِنْهَا أُجُورُ الْقُضَاةِ</w:t>
      </w:r>
      <w:r w:rsidRPr="00880027">
        <w:rPr>
          <w:rFonts w:ascii="Tahoma" w:hAnsi="Tahoma"/>
          <w:shd w:val="clear" w:color="auto" w:fill="FFFFFF"/>
          <w:rtl/>
        </w:rPr>
        <w:t xml:space="preserve"> </w:t>
      </w:r>
      <w:r>
        <w:rPr>
          <w:rFonts w:hint="cs"/>
          <w:rtl/>
        </w:rPr>
        <w:t>»</w:t>
      </w:r>
      <w:r>
        <w:rPr>
          <w:rStyle w:val="FootnoteReference"/>
          <w:rtl/>
        </w:rPr>
        <w:footnoteReference w:id="2"/>
      </w:r>
      <w:r>
        <w:rPr>
          <w:rFonts w:hint="cs"/>
          <w:rtl/>
        </w:rPr>
        <w:t xml:space="preserve"> که از انواع سحت اجر قاضی بود در این صورت روایت اطلاق دارد و نفرموده است که اجر قاضی بر قضاوت فقط یعنی طبیعت بلکه اعم از طبیعت و حصه است. اگر در </w:t>
      </w:r>
      <w:r w:rsidR="00AC539A">
        <w:rPr>
          <w:rFonts w:hint="cs"/>
          <w:rtl/>
        </w:rPr>
        <w:t>رو</w:t>
      </w:r>
      <w:r>
        <w:rPr>
          <w:rFonts w:hint="cs"/>
          <w:rtl/>
        </w:rPr>
        <w:t>ایت آمده بود «اجر علی القضا» در این صورت چنین اطلاقی ندا</w:t>
      </w:r>
      <w:r w:rsidR="00AC539A">
        <w:rPr>
          <w:rFonts w:hint="cs"/>
          <w:rtl/>
        </w:rPr>
        <w:t>ش</w:t>
      </w:r>
      <w:r>
        <w:rPr>
          <w:rFonts w:hint="cs"/>
          <w:rtl/>
        </w:rPr>
        <w:t xml:space="preserve">ت ولی وقتی گفته  اجور قضات حرام است این اطلاق دارد. پس اگر کسی دلالت این رویات را بر اصل حرمت اخذ اجرت بر قضا بپذیرد باید بگوید اخذ اجرت بر حصص قضا هم جایز نیست ولی چون ما دلالت روایت را تمام ندانستیم پس اخذ اجرت بر حصص هم مانعی ندارد.  </w:t>
      </w:r>
    </w:p>
    <w:p w:rsidR="001A1EA5" w:rsidRPr="006162A2" w:rsidRDefault="001A1EA5" w:rsidP="006162A2">
      <w:pPr>
        <w:rPr>
          <w:rtl/>
        </w:rPr>
      </w:pPr>
      <w:bookmarkStart w:id="6" w:name="_GoBack"/>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C2A" w:rsidRDefault="00427C2A" w:rsidP="008B750B">
      <w:pPr>
        <w:spacing w:line="240" w:lineRule="auto"/>
      </w:pPr>
      <w:r>
        <w:separator/>
      </w:r>
    </w:p>
  </w:endnote>
  <w:endnote w:type="continuationSeparator" w:id="0">
    <w:p w:rsidR="00427C2A" w:rsidRDefault="00427C2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63E26" w:rsidRPr="00063E26">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90695" w:rsidP="001B6799">
          <w:pPr>
            <w:pStyle w:val="Footer"/>
            <w:bidi w:val="0"/>
            <w:rPr>
              <w:color w:val="808080" w:themeColor="background1" w:themeShade="80"/>
              <w:rtl/>
            </w:rPr>
          </w:pPr>
          <w:bookmarkStart w:id="14" w:name="BokAdres"/>
          <w:bookmarkEnd w:id="14"/>
          <w:r>
            <w:rPr>
              <w:color w:val="808080" w:themeColor="background1" w:themeShade="80"/>
            </w:rPr>
            <w:t>F2mq1_13980713-013_mk4_mfeb.ir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C2A" w:rsidRDefault="00427C2A" w:rsidP="008B750B">
      <w:pPr>
        <w:spacing w:line="240" w:lineRule="auto"/>
      </w:pPr>
      <w:r>
        <w:separator/>
      </w:r>
    </w:p>
  </w:footnote>
  <w:footnote w:type="continuationSeparator" w:id="0">
    <w:p w:rsidR="00427C2A" w:rsidRDefault="00427C2A" w:rsidP="008B750B">
      <w:pPr>
        <w:spacing w:line="240" w:lineRule="auto"/>
      </w:pPr>
      <w:r>
        <w:continuationSeparator/>
      </w:r>
    </w:p>
  </w:footnote>
  <w:footnote w:id="1">
    <w:p w:rsidR="005C5FA2" w:rsidRPr="005C5FA2" w:rsidRDefault="005C5FA2" w:rsidP="005C5FA2">
      <w:pPr>
        <w:pStyle w:val="FootnoteText"/>
      </w:pPr>
      <w:r w:rsidRPr="005C5FA2">
        <w:footnoteRef/>
      </w:r>
      <w:r w:rsidRPr="005C5FA2">
        <w:rPr>
          <w:rtl/>
        </w:rPr>
        <w:t xml:space="preserve"> </w:t>
      </w:r>
      <w:hyperlink r:id="rId1" w:history="1">
        <w:r w:rsidRPr="005C5FA2">
          <w:rPr>
            <w:rStyle w:val="Hyperlink"/>
            <w:rFonts w:hint="cs"/>
            <w:rtl/>
          </w:rPr>
          <w:t>جواهر</w:t>
        </w:r>
        <w:r w:rsidRPr="005C5FA2">
          <w:rPr>
            <w:rStyle w:val="Hyperlink"/>
            <w:rtl/>
          </w:rPr>
          <w:t xml:space="preserve"> </w:t>
        </w:r>
        <w:r w:rsidRPr="005C5FA2">
          <w:rPr>
            <w:rStyle w:val="Hyperlink"/>
            <w:rFonts w:hint="cs"/>
            <w:rtl/>
          </w:rPr>
          <w:t>الکلام،</w:t>
        </w:r>
        <w:r w:rsidRPr="005C5FA2">
          <w:rPr>
            <w:rStyle w:val="Hyperlink"/>
            <w:rtl/>
          </w:rPr>
          <w:t xml:space="preserve"> </w:t>
        </w:r>
        <w:r w:rsidRPr="005C5FA2">
          <w:rPr>
            <w:rStyle w:val="Hyperlink"/>
            <w:rFonts w:hint="cs"/>
            <w:rtl/>
          </w:rPr>
          <w:t>محمد</w:t>
        </w:r>
        <w:r w:rsidRPr="005C5FA2">
          <w:rPr>
            <w:rStyle w:val="Hyperlink"/>
            <w:rtl/>
          </w:rPr>
          <w:t xml:space="preserve"> </w:t>
        </w:r>
        <w:r w:rsidRPr="005C5FA2">
          <w:rPr>
            <w:rStyle w:val="Hyperlink"/>
            <w:rFonts w:hint="cs"/>
            <w:rtl/>
          </w:rPr>
          <w:t>حسن</w:t>
        </w:r>
        <w:r w:rsidRPr="005C5FA2">
          <w:rPr>
            <w:rStyle w:val="Hyperlink"/>
            <w:rtl/>
          </w:rPr>
          <w:t xml:space="preserve"> </w:t>
        </w:r>
        <w:r w:rsidRPr="005C5FA2">
          <w:rPr>
            <w:rStyle w:val="Hyperlink"/>
            <w:rFonts w:hint="cs"/>
            <w:rtl/>
          </w:rPr>
          <w:t>نجفی،</w:t>
        </w:r>
        <w:r w:rsidRPr="005C5FA2">
          <w:rPr>
            <w:rStyle w:val="Hyperlink"/>
            <w:rtl/>
          </w:rPr>
          <w:t xml:space="preserve"> </w:t>
        </w:r>
        <w:r w:rsidRPr="005C5FA2">
          <w:rPr>
            <w:rStyle w:val="Hyperlink"/>
            <w:rFonts w:hint="cs"/>
            <w:rtl/>
          </w:rPr>
          <w:t>ج</w:t>
        </w:r>
        <w:r w:rsidRPr="005C5FA2">
          <w:rPr>
            <w:rStyle w:val="Hyperlink"/>
            <w:rtl/>
          </w:rPr>
          <w:t>22</w:t>
        </w:r>
        <w:r w:rsidRPr="005C5FA2">
          <w:rPr>
            <w:rStyle w:val="Hyperlink"/>
            <w:rFonts w:hint="cs"/>
            <w:rtl/>
          </w:rPr>
          <w:t>،</w:t>
        </w:r>
        <w:r w:rsidRPr="005C5FA2">
          <w:rPr>
            <w:rStyle w:val="Hyperlink"/>
            <w:rtl/>
          </w:rPr>
          <w:t xml:space="preserve"> </w:t>
        </w:r>
        <w:r w:rsidRPr="005C5FA2">
          <w:rPr>
            <w:rStyle w:val="Hyperlink"/>
            <w:rFonts w:hint="cs"/>
            <w:rtl/>
          </w:rPr>
          <w:t>ص</w:t>
        </w:r>
        <w:r w:rsidRPr="005C5FA2">
          <w:rPr>
            <w:rStyle w:val="Hyperlink"/>
            <w:rtl/>
          </w:rPr>
          <w:t>124.</w:t>
        </w:r>
      </w:hyperlink>
    </w:p>
  </w:footnote>
  <w:footnote w:id="2">
    <w:p w:rsidR="005C5FA2" w:rsidRPr="005C5FA2" w:rsidRDefault="005C5FA2" w:rsidP="005C5FA2">
      <w:pPr>
        <w:pStyle w:val="FootnoteText"/>
        <w:rPr>
          <w:rtl/>
        </w:rPr>
      </w:pPr>
      <w:r w:rsidRPr="005C5FA2">
        <w:footnoteRef/>
      </w:r>
      <w:r w:rsidRPr="005C5FA2">
        <w:rPr>
          <w:rtl/>
        </w:rPr>
        <w:t xml:space="preserve"> </w:t>
      </w:r>
      <w:hyperlink r:id="rId2" w:history="1">
        <w:r w:rsidRPr="005C5FA2">
          <w:rPr>
            <w:rStyle w:val="Hyperlink"/>
            <w:rFonts w:hint="cs"/>
            <w:rtl/>
          </w:rPr>
          <w:t>بحار</w:t>
        </w:r>
        <w:r w:rsidRPr="005C5FA2">
          <w:rPr>
            <w:rStyle w:val="Hyperlink"/>
            <w:rtl/>
          </w:rPr>
          <w:t xml:space="preserve"> </w:t>
        </w:r>
        <w:r w:rsidRPr="005C5FA2">
          <w:rPr>
            <w:rStyle w:val="Hyperlink"/>
            <w:rFonts w:hint="cs"/>
            <w:rtl/>
          </w:rPr>
          <w:t>الانوار،</w:t>
        </w:r>
        <w:r w:rsidRPr="005C5FA2">
          <w:rPr>
            <w:rStyle w:val="Hyperlink"/>
            <w:rtl/>
          </w:rPr>
          <w:t xml:space="preserve"> </w:t>
        </w:r>
        <w:r w:rsidRPr="005C5FA2">
          <w:rPr>
            <w:rStyle w:val="Hyperlink"/>
            <w:rFonts w:hint="cs"/>
            <w:rtl/>
          </w:rPr>
          <w:t>محمّد</w:t>
        </w:r>
        <w:r w:rsidRPr="005C5FA2">
          <w:rPr>
            <w:rStyle w:val="Hyperlink"/>
            <w:rtl/>
          </w:rPr>
          <w:t xml:space="preserve"> </w:t>
        </w:r>
        <w:r w:rsidRPr="005C5FA2">
          <w:rPr>
            <w:rStyle w:val="Hyperlink"/>
            <w:rFonts w:hint="cs"/>
            <w:rtl/>
          </w:rPr>
          <w:t>باقر</w:t>
        </w:r>
        <w:r w:rsidRPr="005C5FA2">
          <w:rPr>
            <w:rStyle w:val="Hyperlink"/>
            <w:rtl/>
          </w:rPr>
          <w:t xml:space="preserve"> </w:t>
        </w:r>
        <w:r w:rsidRPr="005C5FA2">
          <w:rPr>
            <w:rStyle w:val="Hyperlink"/>
            <w:rFonts w:hint="cs"/>
            <w:rtl/>
          </w:rPr>
          <w:t>المجلسی</w:t>
        </w:r>
        <w:r w:rsidRPr="005C5FA2">
          <w:rPr>
            <w:rStyle w:val="Hyperlink"/>
            <w:rtl/>
          </w:rPr>
          <w:t xml:space="preserve"> (</w:t>
        </w:r>
        <w:r w:rsidRPr="005C5FA2">
          <w:rPr>
            <w:rStyle w:val="Hyperlink"/>
            <w:rFonts w:hint="cs"/>
            <w:rtl/>
          </w:rPr>
          <w:t>العلامة</w:t>
        </w:r>
        <w:r w:rsidRPr="005C5FA2">
          <w:rPr>
            <w:rStyle w:val="Hyperlink"/>
            <w:rtl/>
          </w:rPr>
          <w:t xml:space="preserve"> </w:t>
        </w:r>
        <w:r w:rsidRPr="005C5FA2">
          <w:rPr>
            <w:rStyle w:val="Hyperlink"/>
            <w:rFonts w:hint="cs"/>
            <w:rtl/>
          </w:rPr>
          <w:t>المجلسی</w:t>
        </w:r>
        <w:r w:rsidRPr="005C5FA2">
          <w:rPr>
            <w:rStyle w:val="Hyperlink"/>
            <w:rtl/>
          </w:rPr>
          <w:t>)</w:t>
        </w:r>
        <w:r w:rsidRPr="005C5FA2">
          <w:rPr>
            <w:rStyle w:val="Hyperlink"/>
            <w:rFonts w:hint="cs"/>
            <w:rtl/>
          </w:rPr>
          <w:t>،</w:t>
        </w:r>
        <w:r w:rsidRPr="005C5FA2">
          <w:rPr>
            <w:rStyle w:val="Hyperlink"/>
            <w:rtl/>
          </w:rPr>
          <w:t xml:space="preserve"> </w:t>
        </w:r>
        <w:r w:rsidRPr="005C5FA2">
          <w:rPr>
            <w:rStyle w:val="Hyperlink"/>
            <w:rFonts w:hint="cs"/>
            <w:rtl/>
          </w:rPr>
          <w:t>ج</w:t>
        </w:r>
        <w:r w:rsidRPr="005C5FA2">
          <w:rPr>
            <w:rStyle w:val="Hyperlink"/>
            <w:rtl/>
          </w:rPr>
          <w:t>100</w:t>
        </w:r>
        <w:r w:rsidRPr="005C5FA2">
          <w:rPr>
            <w:rStyle w:val="Hyperlink"/>
            <w:rFonts w:hint="cs"/>
            <w:rtl/>
          </w:rPr>
          <w:t>،</w:t>
        </w:r>
        <w:r w:rsidRPr="005C5FA2">
          <w:rPr>
            <w:rStyle w:val="Hyperlink"/>
            <w:rtl/>
          </w:rPr>
          <w:t xml:space="preserve"> </w:t>
        </w:r>
        <w:r w:rsidRPr="005C5FA2">
          <w:rPr>
            <w:rStyle w:val="Hyperlink"/>
            <w:rFonts w:hint="cs"/>
            <w:rtl/>
          </w:rPr>
          <w:t>ص</w:t>
        </w:r>
        <w:r w:rsidRPr="005C5FA2">
          <w:rPr>
            <w:rStyle w:val="Hyperlink"/>
            <w:rtl/>
          </w:rPr>
          <w:t>43.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690695">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69069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69069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690695">
      <w:rPr>
        <w:sz w:val="24"/>
        <w:szCs w:val="24"/>
        <w:rtl/>
      </w:rPr>
      <w:t>13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690695">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690695">
      <w:rPr>
        <w:rFonts w:hint="cs"/>
        <w:sz w:val="24"/>
        <w:szCs w:val="24"/>
        <w:rtl/>
      </w:rPr>
      <w:t>مهدی</w:t>
    </w:r>
    <w:r w:rsidR="00690695">
      <w:rPr>
        <w:sz w:val="24"/>
        <w:szCs w:val="24"/>
        <w:rtl/>
      </w:rPr>
      <w:t xml:space="preserve"> </w:t>
    </w:r>
    <w:r w:rsidR="0069069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690695">
      <w:rPr>
        <w:rFonts w:hint="cs"/>
        <w:sz w:val="24"/>
        <w:szCs w:val="24"/>
        <w:rtl/>
      </w:rPr>
      <w:t>احکام</w:t>
    </w:r>
    <w:r w:rsidR="00690695">
      <w:rPr>
        <w:sz w:val="24"/>
        <w:szCs w:val="24"/>
        <w:rtl/>
      </w:rPr>
      <w:t xml:space="preserve"> </w:t>
    </w:r>
    <w:r w:rsidR="00690695">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63E26"/>
    <w:rsid w:val="000672B3"/>
    <w:rsid w:val="00080A41"/>
    <w:rsid w:val="0008299B"/>
    <w:rsid w:val="000913AA"/>
    <w:rsid w:val="00094847"/>
    <w:rsid w:val="00096C63"/>
    <w:rsid w:val="000B5DB5"/>
    <w:rsid w:val="000C1B27"/>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525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7E24"/>
    <w:rsid w:val="003E1C5C"/>
    <w:rsid w:val="003E6650"/>
    <w:rsid w:val="003F5B46"/>
    <w:rsid w:val="00401363"/>
    <w:rsid w:val="00402E47"/>
    <w:rsid w:val="00425015"/>
    <w:rsid w:val="00427C2A"/>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5FA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069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305"/>
    <w:rsid w:val="007579D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A51"/>
    <w:rsid w:val="0094720F"/>
    <w:rsid w:val="00953B28"/>
    <w:rsid w:val="00954322"/>
    <w:rsid w:val="00957CAA"/>
    <w:rsid w:val="00966552"/>
    <w:rsid w:val="0096778A"/>
    <w:rsid w:val="00977656"/>
    <w:rsid w:val="009846A7"/>
    <w:rsid w:val="0098794D"/>
    <w:rsid w:val="0099497B"/>
    <w:rsid w:val="009A43BA"/>
    <w:rsid w:val="009B0D05"/>
    <w:rsid w:val="009B4CA6"/>
    <w:rsid w:val="009B79F8"/>
    <w:rsid w:val="009C66D5"/>
    <w:rsid w:val="009D13FD"/>
    <w:rsid w:val="009D266A"/>
    <w:rsid w:val="009E262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539A"/>
    <w:rsid w:val="00AC6FE2"/>
    <w:rsid w:val="00AD47AC"/>
    <w:rsid w:val="00AF1EA1"/>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6913"/>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579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860/100/43/&#1575;&#1604;&#1602;&#1590;&#1575;&#1577;" TargetMode="External"/><Relationship Id="rId1" Type="http://schemas.openxmlformats.org/officeDocument/2006/relationships/hyperlink" Target="http://lib.eshia.ir/10088/22/124/&#1610;&#1606;&#1576;&#1594;&#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453ED-4130-451E-948F-217D767B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3</Pages>
  <Words>849</Words>
  <Characters>4844</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2019-10-09T09:41:00Z</cp:lastPrinted>
  <dcterms:created xsi:type="dcterms:W3CDTF">2019-10-09T09:41:00Z</dcterms:created>
  <dcterms:modified xsi:type="dcterms:W3CDTF">2019-10-09T09:44:00Z</dcterms:modified>
  <cp:contentStatus>ویرایش 2.5</cp:contentStatus>
  <cp:version>2.7</cp:version>
</cp:coreProperties>
</file>