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824905" w14:textId="77777777" w:rsidR="008B750B" w:rsidRPr="008A522A" w:rsidRDefault="00783473" w:rsidP="009C66D5">
      <w:pPr>
        <w:jc w:val="center"/>
        <w:rPr>
          <w:rtl/>
        </w:rPr>
      </w:pPr>
      <w:r>
        <w:rPr>
          <w:rFonts w:hint="cs"/>
          <w:noProof/>
          <w:rtl/>
        </w:rPr>
        <w:drawing>
          <wp:inline distT="0" distB="0" distL="0" distR="0" wp14:anchorId="41DEAE39" wp14:editId="16CE9E72">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22938F9F" w14:textId="2B19F7C6" w:rsidR="0092672C"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9906744" w:history="1">
        <w:r w:rsidR="0092672C" w:rsidRPr="002D784D">
          <w:rPr>
            <w:rStyle w:val="Hyperlink"/>
            <w:noProof/>
            <w:rtl/>
          </w:rPr>
          <w:t>ترت</w:t>
        </w:r>
        <w:r w:rsidR="0092672C" w:rsidRPr="002D784D">
          <w:rPr>
            <w:rStyle w:val="Hyperlink"/>
            <w:rFonts w:hint="cs"/>
            <w:noProof/>
            <w:rtl/>
          </w:rPr>
          <w:t>ی</w:t>
        </w:r>
        <w:r w:rsidR="0092672C" w:rsidRPr="002D784D">
          <w:rPr>
            <w:rStyle w:val="Hyperlink"/>
            <w:rFonts w:hint="eastAsia"/>
            <w:noProof/>
            <w:rtl/>
          </w:rPr>
          <w:t>ب</w:t>
        </w:r>
        <w:r w:rsidR="0092672C" w:rsidRPr="002D784D">
          <w:rPr>
            <w:rStyle w:val="Hyperlink"/>
            <w:noProof/>
            <w:rtl/>
          </w:rPr>
          <w:t xml:space="preserve"> آثار مترتب بر قضا</w:t>
        </w:r>
        <w:r w:rsidR="0092672C">
          <w:rPr>
            <w:noProof/>
            <w:webHidden/>
            <w:rtl/>
          </w:rPr>
          <w:tab/>
        </w:r>
        <w:r w:rsidR="0092672C">
          <w:rPr>
            <w:noProof/>
            <w:webHidden/>
            <w:rtl/>
          </w:rPr>
          <w:fldChar w:fldCharType="begin"/>
        </w:r>
        <w:r w:rsidR="0092672C">
          <w:rPr>
            <w:noProof/>
            <w:webHidden/>
            <w:rtl/>
          </w:rPr>
          <w:instrText xml:space="preserve"> </w:instrText>
        </w:r>
        <w:r w:rsidR="0092672C">
          <w:rPr>
            <w:noProof/>
            <w:webHidden/>
          </w:rPr>
          <w:instrText>PAGEREF</w:instrText>
        </w:r>
        <w:r w:rsidR="0092672C">
          <w:rPr>
            <w:noProof/>
            <w:webHidden/>
            <w:rtl/>
          </w:rPr>
          <w:instrText xml:space="preserve"> _</w:instrText>
        </w:r>
        <w:r w:rsidR="0092672C">
          <w:rPr>
            <w:noProof/>
            <w:webHidden/>
          </w:rPr>
          <w:instrText>Toc</w:instrText>
        </w:r>
        <w:r w:rsidR="0092672C">
          <w:rPr>
            <w:noProof/>
            <w:webHidden/>
            <w:rtl/>
          </w:rPr>
          <w:instrText xml:space="preserve">29906744 </w:instrText>
        </w:r>
        <w:r w:rsidR="0092672C">
          <w:rPr>
            <w:noProof/>
            <w:webHidden/>
          </w:rPr>
          <w:instrText>\h</w:instrText>
        </w:r>
        <w:r w:rsidR="0092672C">
          <w:rPr>
            <w:noProof/>
            <w:webHidden/>
            <w:rtl/>
          </w:rPr>
          <w:instrText xml:space="preserve"> </w:instrText>
        </w:r>
        <w:r w:rsidR="0092672C">
          <w:rPr>
            <w:noProof/>
            <w:webHidden/>
            <w:rtl/>
          </w:rPr>
        </w:r>
        <w:r w:rsidR="0092672C">
          <w:rPr>
            <w:noProof/>
            <w:webHidden/>
            <w:rtl/>
          </w:rPr>
          <w:fldChar w:fldCharType="separate"/>
        </w:r>
        <w:r w:rsidR="00632961">
          <w:rPr>
            <w:noProof/>
            <w:webHidden/>
            <w:rtl/>
          </w:rPr>
          <w:t>1</w:t>
        </w:r>
        <w:r w:rsidR="0092672C">
          <w:rPr>
            <w:noProof/>
            <w:webHidden/>
            <w:rtl/>
          </w:rPr>
          <w:fldChar w:fldCharType="end"/>
        </w:r>
      </w:hyperlink>
    </w:p>
    <w:p w14:paraId="11F999B6" w14:textId="52E9BD57" w:rsidR="0092672C" w:rsidRDefault="00632961">
      <w:pPr>
        <w:pStyle w:val="TOC1"/>
        <w:rPr>
          <w:rFonts w:asciiTheme="minorHAnsi" w:eastAsiaTheme="minorEastAsia" w:hAnsiTheme="minorHAnsi" w:cstheme="minorBidi"/>
          <w:noProof/>
          <w:color w:val="auto"/>
          <w:szCs w:val="22"/>
          <w:rtl/>
        </w:rPr>
      </w:pPr>
      <w:hyperlink w:anchor="_Toc29906745" w:history="1">
        <w:r w:rsidR="0092672C" w:rsidRPr="002D784D">
          <w:rPr>
            <w:rStyle w:val="Hyperlink"/>
            <w:noProof/>
            <w:rtl/>
          </w:rPr>
          <w:t>کلام س</w:t>
        </w:r>
        <w:r w:rsidR="0092672C" w:rsidRPr="002D784D">
          <w:rPr>
            <w:rStyle w:val="Hyperlink"/>
            <w:rFonts w:hint="cs"/>
            <w:noProof/>
            <w:rtl/>
          </w:rPr>
          <w:t>ی</w:t>
        </w:r>
        <w:r w:rsidR="0092672C" w:rsidRPr="002D784D">
          <w:rPr>
            <w:rStyle w:val="Hyperlink"/>
            <w:rFonts w:hint="eastAsia"/>
            <w:noProof/>
            <w:rtl/>
          </w:rPr>
          <w:t>د</w:t>
        </w:r>
        <w:r w:rsidR="0092672C" w:rsidRPr="002D784D">
          <w:rPr>
            <w:rStyle w:val="Hyperlink"/>
            <w:noProof/>
            <w:rtl/>
          </w:rPr>
          <w:t xml:space="preserve"> حائر</w:t>
        </w:r>
        <w:r w:rsidR="0092672C" w:rsidRPr="002D784D">
          <w:rPr>
            <w:rStyle w:val="Hyperlink"/>
            <w:rFonts w:hint="cs"/>
            <w:noProof/>
            <w:rtl/>
          </w:rPr>
          <w:t>ی</w:t>
        </w:r>
        <w:r w:rsidR="0092672C" w:rsidRPr="002D784D">
          <w:rPr>
            <w:rStyle w:val="Hyperlink"/>
            <w:noProof/>
            <w:rtl/>
          </w:rPr>
          <w:t xml:space="preserve"> در مورد ترت</w:t>
        </w:r>
        <w:r w:rsidR="0092672C" w:rsidRPr="002D784D">
          <w:rPr>
            <w:rStyle w:val="Hyperlink"/>
            <w:rFonts w:hint="cs"/>
            <w:noProof/>
            <w:rtl/>
          </w:rPr>
          <w:t>ی</w:t>
        </w:r>
        <w:r w:rsidR="0092672C" w:rsidRPr="002D784D">
          <w:rPr>
            <w:rStyle w:val="Hyperlink"/>
            <w:rFonts w:hint="eastAsia"/>
            <w:noProof/>
            <w:rtl/>
          </w:rPr>
          <w:t>ب</w:t>
        </w:r>
        <w:r w:rsidR="0092672C" w:rsidRPr="002D784D">
          <w:rPr>
            <w:rStyle w:val="Hyperlink"/>
            <w:noProof/>
            <w:rtl/>
          </w:rPr>
          <w:t xml:space="preserve"> آثار قضا</w:t>
        </w:r>
        <w:r w:rsidR="0092672C">
          <w:rPr>
            <w:noProof/>
            <w:webHidden/>
            <w:rtl/>
          </w:rPr>
          <w:tab/>
        </w:r>
        <w:r w:rsidR="0092672C">
          <w:rPr>
            <w:noProof/>
            <w:webHidden/>
            <w:rtl/>
          </w:rPr>
          <w:fldChar w:fldCharType="begin"/>
        </w:r>
        <w:r w:rsidR="0092672C">
          <w:rPr>
            <w:noProof/>
            <w:webHidden/>
            <w:rtl/>
          </w:rPr>
          <w:instrText xml:space="preserve"> </w:instrText>
        </w:r>
        <w:r w:rsidR="0092672C">
          <w:rPr>
            <w:noProof/>
            <w:webHidden/>
          </w:rPr>
          <w:instrText>PAGEREF</w:instrText>
        </w:r>
        <w:r w:rsidR="0092672C">
          <w:rPr>
            <w:noProof/>
            <w:webHidden/>
            <w:rtl/>
          </w:rPr>
          <w:instrText xml:space="preserve"> _</w:instrText>
        </w:r>
        <w:r w:rsidR="0092672C">
          <w:rPr>
            <w:noProof/>
            <w:webHidden/>
          </w:rPr>
          <w:instrText>Toc</w:instrText>
        </w:r>
        <w:r w:rsidR="0092672C">
          <w:rPr>
            <w:noProof/>
            <w:webHidden/>
            <w:rtl/>
          </w:rPr>
          <w:instrText xml:space="preserve">29906745 </w:instrText>
        </w:r>
        <w:r w:rsidR="0092672C">
          <w:rPr>
            <w:noProof/>
            <w:webHidden/>
          </w:rPr>
          <w:instrText>\h</w:instrText>
        </w:r>
        <w:r w:rsidR="0092672C">
          <w:rPr>
            <w:noProof/>
            <w:webHidden/>
            <w:rtl/>
          </w:rPr>
          <w:instrText xml:space="preserve"> </w:instrText>
        </w:r>
        <w:r w:rsidR="0092672C">
          <w:rPr>
            <w:noProof/>
            <w:webHidden/>
            <w:rtl/>
          </w:rPr>
        </w:r>
        <w:r w:rsidR="0092672C">
          <w:rPr>
            <w:noProof/>
            <w:webHidden/>
            <w:rtl/>
          </w:rPr>
          <w:fldChar w:fldCharType="separate"/>
        </w:r>
        <w:r>
          <w:rPr>
            <w:noProof/>
            <w:webHidden/>
            <w:rtl/>
          </w:rPr>
          <w:t>2</w:t>
        </w:r>
        <w:r w:rsidR="0092672C">
          <w:rPr>
            <w:noProof/>
            <w:webHidden/>
            <w:rtl/>
          </w:rPr>
          <w:fldChar w:fldCharType="end"/>
        </w:r>
      </w:hyperlink>
    </w:p>
    <w:p w14:paraId="17383AD5" w14:textId="2F8A9184" w:rsidR="00C91EB6" w:rsidRPr="00C91EB6" w:rsidRDefault="00A01522" w:rsidP="00C91EB6">
      <w:r>
        <w:rPr>
          <w:rFonts w:cs="B Titr"/>
          <w:noProof/>
          <w:webHidden/>
          <w:color w:val="632423" w:themeColor="accent2" w:themeShade="80"/>
          <w:szCs w:val="24"/>
          <w:rtl/>
        </w:rPr>
        <w:fldChar w:fldCharType="end"/>
      </w:r>
    </w:p>
    <w:p w14:paraId="6335C289"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81547">
        <w:rPr>
          <w:rtl/>
        </w:rPr>
        <w:t>احکام مترتب برقضا</w:t>
      </w:r>
      <w:r w:rsidR="00025B70">
        <w:rPr>
          <w:rFonts w:hint="cs"/>
          <w:rtl/>
        </w:rPr>
        <w:t xml:space="preserve"> </w:t>
      </w:r>
      <w:r w:rsidR="00386C11" w:rsidRPr="00A6366F">
        <w:rPr>
          <w:rFonts w:hint="cs"/>
          <w:rtl/>
        </w:rPr>
        <w:t>/</w:t>
      </w:r>
      <w:bookmarkStart w:id="1" w:name="BokSabj_d"/>
      <w:bookmarkEnd w:id="1"/>
      <w:r w:rsidR="00381547">
        <w:rPr>
          <w:rtl/>
        </w:rPr>
        <w:t>القضا</w:t>
      </w:r>
      <w:r w:rsidR="00386C11" w:rsidRPr="00A6366F">
        <w:rPr>
          <w:rFonts w:hint="cs"/>
          <w:rtl/>
        </w:rPr>
        <w:t xml:space="preserve"> /</w:t>
      </w:r>
      <w:bookmarkStart w:id="2" w:name="Bokkolli"/>
      <w:bookmarkEnd w:id="2"/>
      <w:r w:rsidR="00381547">
        <w:rPr>
          <w:rtl/>
        </w:rPr>
        <w:t>کتاب القضا</w:t>
      </w:r>
      <w:r w:rsidR="001B6799" w:rsidRPr="00A6366F">
        <w:rPr>
          <w:rFonts w:hint="cs"/>
          <w:rtl/>
        </w:rPr>
        <w:t xml:space="preserve"> </w:t>
      </w:r>
    </w:p>
    <w:p w14:paraId="2074F4B6"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69BE6C88" w14:textId="4BC0A55A" w:rsidR="0092672C" w:rsidRPr="004849DD" w:rsidRDefault="0092672C" w:rsidP="001B732E">
      <w:pPr>
        <w:jc w:val="both"/>
        <w:rPr>
          <w:sz w:val="28"/>
          <w:rtl/>
        </w:rPr>
      </w:pPr>
      <w:r w:rsidRPr="004849DD">
        <w:rPr>
          <w:rFonts w:hint="cs"/>
          <w:sz w:val="28"/>
          <w:rtl/>
        </w:rPr>
        <w:t>بحث ما در ترتیب آثار مترتب بر قضا</w:t>
      </w:r>
      <w:r w:rsidR="001B732E" w:rsidRPr="001B732E">
        <w:rPr>
          <w:rFonts w:hint="cs"/>
          <w:sz w:val="28"/>
          <w:rtl/>
        </w:rPr>
        <w:t xml:space="preserve"> </w:t>
      </w:r>
      <w:r w:rsidR="001B732E" w:rsidRPr="004849DD">
        <w:rPr>
          <w:rFonts w:hint="cs"/>
          <w:sz w:val="28"/>
          <w:rtl/>
        </w:rPr>
        <w:t>بود</w:t>
      </w:r>
      <w:r w:rsidR="001B732E">
        <w:rPr>
          <w:rFonts w:hint="cs"/>
          <w:sz w:val="28"/>
          <w:rtl/>
        </w:rPr>
        <w:t>؛</w:t>
      </w:r>
      <w:r w:rsidRPr="004849DD">
        <w:rPr>
          <w:rFonts w:hint="cs"/>
          <w:sz w:val="28"/>
          <w:rtl/>
        </w:rPr>
        <w:t xml:space="preserve"> </w:t>
      </w:r>
      <w:r w:rsidR="001B732E">
        <w:rPr>
          <w:rFonts w:hint="cs"/>
          <w:sz w:val="28"/>
          <w:rtl/>
        </w:rPr>
        <w:t xml:space="preserve">آثاری </w:t>
      </w:r>
      <w:r w:rsidRPr="004849DD">
        <w:rPr>
          <w:rFonts w:hint="cs"/>
          <w:sz w:val="28"/>
          <w:rtl/>
        </w:rPr>
        <w:t xml:space="preserve">که مخالف با </w:t>
      </w:r>
      <w:r w:rsidR="001B732E">
        <w:rPr>
          <w:rFonts w:hint="cs"/>
          <w:sz w:val="28"/>
          <w:rtl/>
        </w:rPr>
        <w:t>وظیفه اجتهادی یا تقلیدی شخص است</w:t>
      </w:r>
      <w:r w:rsidRPr="004849DD">
        <w:rPr>
          <w:rFonts w:hint="cs"/>
          <w:sz w:val="28"/>
          <w:rtl/>
        </w:rPr>
        <w:t>. مرحوم حکیم فرمودند که قضا منشأ ترتیب آثار هست و مرحوم خویی این مطلب را انکار کردند.</w:t>
      </w:r>
    </w:p>
    <w:p w14:paraId="49567D17" w14:textId="77777777" w:rsidR="0092672C" w:rsidRPr="004849DD" w:rsidRDefault="0092672C" w:rsidP="0092672C">
      <w:pPr>
        <w:pStyle w:val="Heading1"/>
        <w:rPr>
          <w:rtl/>
        </w:rPr>
      </w:pPr>
      <w:bookmarkStart w:id="4" w:name="_Toc29906744"/>
      <w:r w:rsidRPr="004849DD">
        <w:rPr>
          <w:rFonts w:hint="cs"/>
          <w:rtl/>
        </w:rPr>
        <w:t>ترتیب آثار مترتب بر قضا</w:t>
      </w:r>
      <w:bookmarkEnd w:id="4"/>
    </w:p>
    <w:p w14:paraId="1609B379" w14:textId="62738FA2" w:rsidR="0092672C" w:rsidRPr="004849DD" w:rsidRDefault="0092672C" w:rsidP="001B732E">
      <w:pPr>
        <w:jc w:val="both"/>
        <w:rPr>
          <w:sz w:val="28"/>
          <w:rtl/>
        </w:rPr>
      </w:pPr>
      <w:r w:rsidRPr="004849DD">
        <w:rPr>
          <w:rFonts w:hint="cs"/>
          <w:sz w:val="28"/>
          <w:rtl/>
        </w:rPr>
        <w:t>مبنای کلام مرحوم خویی</w:t>
      </w:r>
      <w:r>
        <w:rPr>
          <w:rStyle w:val="FootnoteReference"/>
          <w:sz w:val="28"/>
          <w:rtl/>
        </w:rPr>
        <w:footnoteReference w:id="1"/>
      </w:r>
      <w:r w:rsidRPr="004849DD">
        <w:rPr>
          <w:rFonts w:hint="cs"/>
          <w:sz w:val="28"/>
          <w:rtl/>
        </w:rPr>
        <w:t xml:space="preserve"> که فرمودند قضا منشأ ترتیب آثار نیست این بود که روایت مقبوله ضعف سندی دارد و اطلاقات باب قضا فقط در مقام بیان حکم قضا از حیث عدم جواز تجدید اقامه دعوا است. </w:t>
      </w:r>
      <w:r w:rsidR="001B732E">
        <w:rPr>
          <w:rFonts w:hint="cs"/>
          <w:sz w:val="28"/>
          <w:rtl/>
        </w:rPr>
        <w:t xml:space="preserve">اما </w:t>
      </w:r>
      <w:r w:rsidRPr="004849DD">
        <w:rPr>
          <w:rFonts w:hint="cs"/>
          <w:sz w:val="28"/>
          <w:rtl/>
        </w:rPr>
        <w:t>مرحوم حکیم</w:t>
      </w:r>
      <w:r>
        <w:rPr>
          <w:rStyle w:val="FootnoteReference"/>
          <w:sz w:val="28"/>
          <w:rtl/>
        </w:rPr>
        <w:footnoteReference w:id="2"/>
      </w:r>
      <w:r w:rsidRPr="004849DD">
        <w:rPr>
          <w:rFonts w:hint="cs"/>
          <w:sz w:val="28"/>
          <w:rtl/>
        </w:rPr>
        <w:t xml:space="preserve"> فرمود اطلاق روایت مقبوله علاوه بر رفع خصومت، مبین ترتیب آثار نیز </w:t>
      </w:r>
      <w:r w:rsidR="001B732E">
        <w:rPr>
          <w:rFonts w:hint="cs"/>
          <w:sz w:val="28"/>
          <w:rtl/>
        </w:rPr>
        <w:t>می باشد</w:t>
      </w:r>
      <w:r w:rsidRPr="004849DD">
        <w:rPr>
          <w:rFonts w:hint="cs"/>
          <w:sz w:val="28"/>
          <w:rtl/>
        </w:rPr>
        <w:t xml:space="preserve">. </w:t>
      </w:r>
    </w:p>
    <w:p w14:paraId="0D36F3D0" w14:textId="66676457" w:rsidR="0092672C" w:rsidRPr="004849DD" w:rsidRDefault="0092672C" w:rsidP="0092672C">
      <w:pPr>
        <w:jc w:val="both"/>
        <w:rPr>
          <w:sz w:val="28"/>
          <w:rtl/>
        </w:rPr>
      </w:pPr>
      <w:r w:rsidRPr="004849DD">
        <w:rPr>
          <w:rFonts w:hint="cs"/>
          <w:sz w:val="28"/>
          <w:rtl/>
        </w:rPr>
        <w:t>ما گفتیم حتی اگر در مقام</w:t>
      </w:r>
      <w:r w:rsidR="00EF6A80">
        <w:rPr>
          <w:rFonts w:hint="cs"/>
          <w:sz w:val="28"/>
          <w:rtl/>
        </w:rPr>
        <w:t>،</w:t>
      </w:r>
      <w:r w:rsidRPr="004849DD">
        <w:rPr>
          <w:rFonts w:hint="cs"/>
          <w:sz w:val="28"/>
          <w:rtl/>
        </w:rPr>
        <w:t xml:space="preserve"> اطلاق لفظی را نپذیریم، مقتضای اطلاق مقامی این است که آثار دیگر غیر از فصل خصومت </w:t>
      </w:r>
      <w:r w:rsidR="00EF6A80">
        <w:rPr>
          <w:rFonts w:hint="cs"/>
          <w:sz w:val="28"/>
          <w:rtl/>
        </w:rPr>
        <w:t xml:space="preserve">نیز </w:t>
      </w:r>
      <w:r w:rsidRPr="004849DD">
        <w:rPr>
          <w:rFonts w:hint="cs"/>
          <w:sz w:val="28"/>
          <w:rtl/>
        </w:rPr>
        <w:t>مترتب است به بیانی که گذشت.</w:t>
      </w:r>
    </w:p>
    <w:p w14:paraId="103437A6" w14:textId="09302F1E" w:rsidR="0092672C" w:rsidRPr="004849DD" w:rsidRDefault="0092672C" w:rsidP="00EF6A80">
      <w:pPr>
        <w:jc w:val="both"/>
        <w:rPr>
          <w:sz w:val="28"/>
          <w:rtl/>
        </w:rPr>
      </w:pPr>
      <w:bookmarkStart w:id="5" w:name="_Hlk29904841"/>
      <w:r w:rsidRPr="004849DD">
        <w:rPr>
          <w:rFonts w:hint="cs"/>
          <w:sz w:val="28"/>
          <w:rtl/>
        </w:rPr>
        <w:t xml:space="preserve">اشکالی در مقام مطرح است به این صورت که مقتضای اطلاق </w:t>
      </w:r>
      <w:r w:rsidR="00EF6A80">
        <w:rPr>
          <w:rFonts w:hint="cs"/>
          <w:sz w:val="28"/>
          <w:rtl/>
        </w:rPr>
        <w:t xml:space="preserve">روایات </w:t>
      </w:r>
      <w:r w:rsidRPr="004849DD">
        <w:rPr>
          <w:rFonts w:hint="cs"/>
          <w:sz w:val="28"/>
          <w:rtl/>
        </w:rPr>
        <w:t>باب قضا این است که باید آثار مترتب باشد چه آن آثار مخالف با وظیفه اجتهادی و تقلیدی طرفین باشد و چه نباشد. از طرف دیگر مقتضای اطلاقات باب اجتهاد و تقلید این است که باید به آنها عمل کرد چه حکم قاضی موافق با آنها باشد و چه مخالف باشد. در نتیجه این دو تعارض و تساقط می کنند و بعد از تساقط مقتضای اصل عدم حجیت است.</w:t>
      </w:r>
      <w:bookmarkEnd w:id="5"/>
    </w:p>
    <w:p w14:paraId="3E47A0EA" w14:textId="7BA390B6" w:rsidR="0092672C" w:rsidRPr="004849DD" w:rsidRDefault="0092672C" w:rsidP="007851D9">
      <w:pPr>
        <w:jc w:val="both"/>
        <w:rPr>
          <w:sz w:val="28"/>
          <w:rtl/>
        </w:rPr>
      </w:pPr>
      <w:r w:rsidRPr="004849DD">
        <w:rPr>
          <w:rFonts w:hint="cs"/>
          <w:sz w:val="28"/>
          <w:rtl/>
        </w:rPr>
        <w:t>برای رفع تعارض گفتیم دو بیان وجود دارد یکی از آنها بیان مرحوم حکیم بود که ایشان فرموده دلالت مقبوله بر ترتیب اثر ب</w:t>
      </w:r>
      <w:r w:rsidR="00EF6A80">
        <w:rPr>
          <w:rFonts w:hint="cs"/>
          <w:sz w:val="28"/>
          <w:rtl/>
        </w:rPr>
        <w:t xml:space="preserve">ه وسیله </w:t>
      </w:r>
      <w:r w:rsidRPr="004849DD">
        <w:rPr>
          <w:rFonts w:hint="cs"/>
          <w:sz w:val="28"/>
          <w:rtl/>
        </w:rPr>
        <w:t xml:space="preserve">اطلاق </w:t>
      </w:r>
      <w:r w:rsidR="00EF6A80">
        <w:rPr>
          <w:rFonts w:hint="cs"/>
          <w:sz w:val="28"/>
          <w:rtl/>
        </w:rPr>
        <w:t xml:space="preserve">فقط </w:t>
      </w:r>
      <w:r w:rsidRPr="004849DD">
        <w:rPr>
          <w:rFonts w:hint="cs"/>
          <w:sz w:val="28"/>
          <w:rtl/>
        </w:rPr>
        <w:t xml:space="preserve">نیست بلکه مورد روایت </w:t>
      </w:r>
      <w:r w:rsidR="00EF6A80">
        <w:rPr>
          <w:rFonts w:hint="cs"/>
          <w:sz w:val="28"/>
          <w:rtl/>
        </w:rPr>
        <w:t xml:space="preserve">نیز </w:t>
      </w:r>
      <w:r w:rsidRPr="004849DD">
        <w:rPr>
          <w:rFonts w:hint="cs"/>
          <w:sz w:val="28"/>
          <w:rtl/>
        </w:rPr>
        <w:t>شبهه حکمیه است.</w:t>
      </w:r>
      <w:bookmarkStart w:id="6" w:name="_Hlk29905174"/>
      <w:r w:rsidRPr="004849DD">
        <w:rPr>
          <w:rFonts w:hint="cs"/>
          <w:sz w:val="28"/>
          <w:rtl/>
        </w:rPr>
        <w:t xml:space="preserve"> اینکه در روایت آمده است «</w:t>
      </w:r>
      <w:r w:rsidRPr="0092672C">
        <w:rPr>
          <w:rFonts w:ascii="Traditional Arabic" w:hAnsi="Traditional Arabic" w:hint="cs"/>
          <w:color w:val="008000"/>
          <w:sz w:val="28"/>
          <w:rtl/>
        </w:rPr>
        <w:t xml:space="preserve">عَنْ رَجُلَيْنِ مِنْ أَصْحَابِنَا بَيْنَهُمَا </w:t>
      </w:r>
      <w:r w:rsidRPr="0092672C">
        <w:rPr>
          <w:rFonts w:ascii="Traditional Arabic" w:hAnsi="Traditional Arabic" w:hint="cs"/>
          <w:color w:val="008000"/>
          <w:sz w:val="28"/>
          <w:rtl/>
        </w:rPr>
        <w:lastRenderedPageBreak/>
        <w:t>مُنَازَعَةٌ فِي دَيْنٍ أَوْ مِيرَاثٍ</w:t>
      </w:r>
      <w:r w:rsidRPr="004849DD">
        <w:rPr>
          <w:rFonts w:hint="cs"/>
          <w:sz w:val="28"/>
          <w:rtl/>
        </w:rPr>
        <w:t>»</w:t>
      </w:r>
      <w:r>
        <w:rPr>
          <w:rStyle w:val="FootnoteReference"/>
          <w:sz w:val="28"/>
          <w:rtl/>
        </w:rPr>
        <w:footnoteReference w:id="3"/>
      </w:r>
      <w:r w:rsidRPr="004849DD">
        <w:rPr>
          <w:rFonts w:hint="cs"/>
          <w:sz w:val="28"/>
          <w:rtl/>
        </w:rPr>
        <w:t xml:space="preserve"> نشان می دهد که این دو </w:t>
      </w:r>
      <w:r w:rsidR="00EF6A80">
        <w:rPr>
          <w:rFonts w:hint="cs"/>
          <w:sz w:val="28"/>
          <w:rtl/>
        </w:rPr>
        <w:t>نفر جزم به ادعا داشته اند و در غیر این صورت</w:t>
      </w:r>
      <w:r w:rsidRPr="004849DD">
        <w:rPr>
          <w:rFonts w:hint="cs"/>
          <w:sz w:val="28"/>
          <w:rtl/>
        </w:rPr>
        <w:t xml:space="preserve"> اصلا ادعا مسموع نیست</w:t>
      </w:r>
      <w:bookmarkEnd w:id="6"/>
      <w:r w:rsidRPr="004849DD">
        <w:rPr>
          <w:rFonts w:hint="cs"/>
          <w:sz w:val="28"/>
          <w:rtl/>
        </w:rPr>
        <w:t>. جزم متخاصمین مبتنی بر حج</w:t>
      </w:r>
      <w:r w:rsidR="00EF6A80">
        <w:rPr>
          <w:rFonts w:hint="cs"/>
          <w:sz w:val="28"/>
          <w:rtl/>
        </w:rPr>
        <w:t>تی است که آن حجت یا اجتهاد است</w:t>
      </w:r>
      <w:r w:rsidRPr="004849DD">
        <w:rPr>
          <w:rFonts w:hint="cs"/>
          <w:sz w:val="28"/>
          <w:rtl/>
        </w:rPr>
        <w:t xml:space="preserve"> یا تقلید. د</w:t>
      </w:r>
      <w:r w:rsidR="007851D9">
        <w:rPr>
          <w:rFonts w:hint="cs"/>
          <w:sz w:val="28"/>
          <w:rtl/>
        </w:rPr>
        <w:t>ر هم</w:t>
      </w:r>
      <w:r w:rsidRPr="004849DD">
        <w:rPr>
          <w:rFonts w:hint="cs"/>
          <w:sz w:val="28"/>
          <w:rtl/>
        </w:rPr>
        <w:t xml:space="preserve">ین </w:t>
      </w:r>
      <w:r w:rsidR="007851D9">
        <w:rPr>
          <w:rFonts w:hint="cs"/>
          <w:sz w:val="28"/>
          <w:rtl/>
        </w:rPr>
        <w:t>فرض است که</w:t>
      </w:r>
      <w:r w:rsidRPr="004849DD">
        <w:rPr>
          <w:rFonts w:hint="cs"/>
          <w:sz w:val="28"/>
          <w:rtl/>
        </w:rPr>
        <w:t xml:space="preserve"> حضرت امر به رجوع به قضات شیعه کردند و مقتضای این امر این است که حکم قاضی هر چیزی که بود باید طبق آن عمل شود. </w:t>
      </w:r>
    </w:p>
    <w:p w14:paraId="5CF50108" w14:textId="0DFD9F24" w:rsidR="0092672C" w:rsidRPr="004849DD" w:rsidRDefault="0092672C" w:rsidP="007851D9">
      <w:pPr>
        <w:jc w:val="both"/>
        <w:rPr>
          <w:sz w:val="28"/>
          <w:rtl/>
        </w:rPr>
      </w:pPr>
      <w:r w:rsidRPr="0092672C">
        <w:rPr>
          <w:rFonts w:hint="cs"/>
          <w:sz w:val="28"/>
          <w:highlight w:val="yellow"/>
          <w:rtl/>
        </w:rPr>
        <w:t xml:space="preserve">به نظر </w:t>
      </w:r>
      <w:r w:rsidRPr="007851D9">
        <w:rPr>
          <w:rFonts w:hint="cs"/>
          <w:sz w:val="28"/>
          <w:highlight w:val="yellow"/>
          <w:rtl/>
        </w:rPr>
        <w:t xml:space="preserve">ما </w:t>
      </w:r>
      <w:r w:rsidRPr="004849DD">
        <w:rPr>
          <w:rFonts w:hint="cs"/>
          <w:sz w:val="28"/>
          <w:rtl/>
        </w:rPr>
        <w:t>این کلام مرحوم</w:t>
      </w:r>
      <w:r w:rsidR="007851D9">
        <w:rPr>
          <w:rFonts w:hint="cs"/>
          <w:sz w:val="28"/>
          <w:rtl/>
        </w:rPr>
        <w:t xml:space="preserve"> حکیم نیاز به یک ضمیمه دارد.</w:t>
      </w:r>
      <w:r w:rsidRPr="004849DD">
        <w:rPr>
          <w:rFonts w:hint="cs"/>
          <w:sz w:val="28"/>
          <w:rtl/>
        </w:rPr>
        <w:t xml:space="preserve"> ایشان به این فقره از روایت تمسک کردند «</w:t>
      </w:r>
      <w:r w:rsidRPr="0092672C">
        <w:rPr>
          <w:rFonts w:ascii="Traditional Arabic" w:hAnsi="Traditional Arabic" w:hint="cs"/>
          <w:color w:val="008000"/>
          <w:sz w:val="28"/>
          <w:rtl/>
        </w:rPr>
        <w:t>عَنْ رَجُلَيْنِ مِنْ أَصْحَابِنَا بَيْنَهُمَا مُنَازَعَةٌ فِي دَيْنٍ أَوْ مِيرَاثٍ</w:t>
      </w:r>
      <w:r w:rsidRPr="004849DD">
        <w:rPr>
          <w:rFonts w:hint="cs"/>
          <w:sz w:val="28"/>
          <w:rtl/>
        </w:rPr>
        <w:t>» ولی ممکن است کسی بگوید که این روایت مربوط به شبهات موضوعیه است و این اختلاف در دین و میراث</w:t>
      </w:r>
      <w:r w:rsidR="007851D9">
        <w:rPr>
          <w:rFonts w:hint="cs"/>
          <w:sz w:val="28"/>
          <w:rtl/>
        </w:rPr>
        <w:t>،</w:t>
      </w:r>
      <w:r w:rsidRPr="004849DD">
        <w:rPr>
          <w:rFonts w:hint="cs"/>
          <w:sz w:val="28"/>
          <w:rtl/>
        </w:rPr>
        <w:t xml:space="preserve"> اختلاف در شبهه موضوعیه است. برای دفع این توهم می گوییم در ادامه روایت </w:t>
      </w:r>
      <w:r w:rsidR="007851D9">
        <w:rPr>
          <w:rFonts w:hint="cs"/>
          <w:sz w:val="28"/>
          <w:rtl/>
        </w:rPr>
        <w:t>آمده</w:t>
      </w:r>
      <w:r w:rsidRPr="004849DD">
        <w:rPr>
          <w:rFonts w:hint="cs"/>
          <w:sz w:val="28"/>
          <w:rtl/>
        </w:rPr>
        <w:t xml:space="preserve"> </w:t>
      </w:r>
      <w:r w:rsidR="007851D9">
        <w:rPr>
          <w:rFonts w:hint="cs"/>
          <w:sz w:val="28"/>
          <w:rtl/>
        </w:rPr>
        <w:t>است</w:t>
      </w:r>
      <w:r w:rsidRPr="004849DD">
        <w:rPr>
          <w:rFonts w:hint="cs"/>
          <w:sz w:val="28"/>
          <w:rtl/>
        </w:rPr>
        <w:t xml:space="preserve"> «</w:t>
      </w:r>
      <w:r w:rsidRPr="0092672C">
        <w:rPr>
          <w:rFonts w:ascii="Traditional Arabic" w:hAnsi="Traditional Arabic" w:hint="cs"/>
          <w:color w:val="008000"/>
          <w:sz w:val="28"/>
          <w:rtl/>
        </w:rPr>
        <w:t>كِلَاهُمَا اخْتَلَفَا فِي حَدِيثِكُمْ</w:t>
      </w:r>
      <w:r w:rsidRPr="004849DD">
        <w:rPr>
          <w:rFonts w:hint="cs"/>
          <w:sz w:val="28"/>
          <w:rtl/>
        </w:rPr>
        <w:t xml:space="preserve">» که در این صورت مورد روایت شبهه حکمیه است. در نتیجه قدر متیقن از این روایت شبهه حکمیه است. </w:t>
      </w:r>
    </w:p>
    <w:p w14:paraId="3E356972" w14:textId="77777777" w:rsidR="0092672C" w:rsidRPr="004849DD" w:rsidRDefault="0092672C" w:rsidP="0092672C">
      <w:pPr>
        <w:pStyle w:val="Heading1"/>
        <w:rPr>
          <w:rtl/>
        </w:rPr>
      </w:pPr>
      <w:bookmarkStart w:id="7" w:name="_Toc29906745"/>
      <w:r w:rsidRPr="004849DD">
        <w:rPr>
          <w:rFonts w:hint="cs"/>
          <w:rtl/>
        </w:rPr>
        <w:t>کلام سید حائری در مورد ترتیب آثار قضا</w:t>
      </w:r>
      <w:bookmarkEnd w:id="7"/>
    </w:p>
    <w:p w14:paraId="221B1694" w14:textId="537D7E98" w:rsidR="0092672C" w:rsidRPr="004849DD" w:rsidRDefault="0092672C" w:rsidP="0092672C">
      <w:pPr>
        <w:jc w:val="both"/>
        <w:rPr>
          <w:sz w:val="28"/>
        </w:rPr>
      </w:pPr>
      <w:r w:rsidRPr="004849DD">
        <w:rPr>
          <w:rFonts w:hint="cs"/>
          <w:sz w:val="28"/>
          <w:rtl/>
        </w:rPr>
        <w:t xml:space="preserve">مرحوم حکیم فرمود ادله قضا نص در مورد شبهات حکمیه است و بر اطلاق ادله اجتهاد و تقلید مقدم می شود. سید کاظم حائری </w:t>
      </w:r>
      <w:r w:rsidR="00EA3A57">
        <w:rPr>
          <w:rFonts w:hint="cs"/>
          <w:sz w:val="28"/>
          <w:rtl/>
        </w:rPr>
        <w:t xml:space="preserve">نیز </w:t>
      </w:r>
      <w:r w:rsidRPr="004849DD">
        <w:rPr>
          <w:rFonts w:hint="cs"/>
          <w:sz w:val="28"/>
          <w:rtl/>
        </w:rPr>
        <w:t>می فرماید که ادله قضا بر ادله اجتهاد و تقلید حکومت دارد. ایشان فرموده است</w:t>
      </w:r>
      <w:r w:rsidR="00EA3A57">
        <w:rPr>
          <w:rFonts w:hint="cs"/>
          <w:sz w:val="28"/>
          <w:rtl/>
        </w:rPr>
        <w:t>:</w:t>
      </w:r>
      <w:r w:rsidRPr="004849DD">
        <w:rPr>
          <w:rFonts w:hint="cs"/>
          <w:sz w:val="28"/>
          <w:rtl/>
        </w:rPr>
        <w:t xml:space="preserve"> «</w:t>
      </w:r>
      <w:r w:rsidRPr="0092672C">
        <w:rPr>
          <w:rFonts w:ascii="Tahoma" w:hAnsi="Tahoma"/>
          <w:color w:val="000080"/>
          <w:sz w:val="28"/>
          <w:shd w:val="clear" w:color="auto" w:fill="FFFFFF"/>
          <w:rtl/>
        </w:rPr>
        <w:t>فإذا تمّ التعارض بين دليل نفوذ القضاء و دليل حرمة المحكوم به فما هو العلاج؟ لا يبعد أن يقال: إنّ دليل نفوذ القضاء حاكم على دليل حرمة المحكوم به؛ لأنّه ناظر إلى جميع الأحكام المختلف فيها بين المتخاصمين، سواء كان الخلاف فيها لأجل الخلاف في الموضوع أو كان خلافا في أصل الحكم. نعم لو أمكن للمحكوم عليه التجنّب عن الحرام من دون التورّط في مخالفة حكم الحاكم، كما لو استطاعت المرأة التي حكمه عليها بالزوجية و بصحة ما وقع من عقد الزواج إقناع الزوج بإعادة العقد الذي اختلفا في صحّته و إجرائه بالشكل الذي تعتقد هي بصحّته وجب عليها ذلك، فإنّ حكومة دليل نفوذ القضاء إنّما هي بقدر النفوذ- أي بقدر حرمة نقض الحكم- و لا توجب جواز التورّط فيما تعتقد حرمته بالشكل الذي كان بالإمكان التجنّب عنه بلا نقض للحكم</w:t>
      </w:r>
      <w:r w:rsidRPr="004849DD">
        <w:rPr>
          <w:rFonts w:hint="cs"/>
          <w:sz w:val="28"/>
          <w:rtl/>
        </w:rPr>
        <w:t>»</w:t>
      </w:r>
      <w:r>
        <w:rPr>
          <w:rStyle w:val="FootnoteReference"/>
          <w:sz w:val="28"/>
          <w:rtl/>
        </w:rPr>
        <w:footnoteReference w:id="4"/>
      </w:r>
      <w:r w:rsidRPr="004849DD">
        <w:rPr>
          <w:rFonts w:hint="cs"/>
          <w:sz w:val="28"/>
          <w:rtl/>
        </w:rPr>
        <w:t xml:space="preserve"> </w:t>
      </w:r>
    </w:p>
    <w:bookmarkEnd w:id="3"/>
    <w:p w14:paraId="58AB6215"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307A6" w14:textId="77777777" w:rsidR="00240B30" w:rsidRDefault="00240B30" w:rsidP="008B750B">
      <w:pPr>
        <w:spacing w:line="240" w:lineRule="auto"/>
      </w:pPr>
      <w:r>
        <w:separator/>
      </w:r>
    </w:p>
  </w:endnote>
  <w:endnote w:type="continuationSeparator" w:id="0">
    <w:p w14:paraId="2455B7E0" w14:textId="77777777" w:rsidR="00240B30" w:rsidRDefault="00240B3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Traditional Arabic">
    <w:panose1 w:val="02020603050405020304"/>
    <w:charset w:val="B2"/>
    <w:family w:val="auto"/>
    <w:pitch w:val="variable"/>
    <w:sig w:usb0="00002001" w:usb1="00000000" w:usb2="00000000" w:usb3="00000000" w:csb0="00000040"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0CD6E"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4AA91B40" w14:textId="77777777" w:rsidTr="0020241A">
      <w:tc>
        <w:tcPr>
          <w:tcW w:w="3382" w:type="dxa"/>
          <w:tcBorders>
            <w:top w:val="nil"/>
            <w:left w:val="nil"/>
            <w:bottom w:val="nil"/>
            <w:right w:val="nil"/>
          </w:tcBorders>
        </w:tcPr>
        <w:p w14:paraId="7A78A787"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1BFF130"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06CCD" w:rsidRPr="00506CCD">
            <w:rPr>
              <w:noProof/>
              <w:rtl/>
              <w:lang w:val="fa-IR"/>
            </w:rPr>
            <w:t>1</w:t>
          </w:r>
          <w:r>
            <w:rPr>
              <w:noProof/>
            </w:rPr>
            <w:fldChar w:fldCharType="end"/>
          </w:r>
        </w:p>
      </w:tc>
      <w:tc>
        <w:tcPr>
          <w:tcW w:w="4786" w:type="dxa"/>
          <w:tcBorders>
            <w:top w:val="nil"/>
            <w:left w:val="nil"/>
            <w:bottom w:val="nil"/>
            <w:right w:val="nil"/>
          </w:tcBorders>
          <w:vAlign w:val="center"/>
        </w:tcPr>
        <w:p w14:paraId="3B947DC1" w14:textId="77777777" w:rsidR="006D44C1" w:rsidRPr="006D44C1" w:rsidRDefault="00381547" w:rsidP="001B6799">
          <w:pPr>
            <w:pStyle w:val="Footer"/>
            <w:bidi w:val="0"/>
            <w:rPr>
              <w:color w:val="808080" w:themeColor="background1" w:themeShade="80"/>
              <w:rtl/>
            </w:rPr>
          </w:pPr>
          <w:bookmarkStart w:id="15" w:name="BokAdres"/>
          <w:bookmarkEnd w:id="15"/>
          <w:r>
            <w:rPr>
              <w:color w:val="808080" w:themeColor="background1" w:themeShade="80"/>
            </w:rPr>
            <w:t>F1mq1_13981024-059_mk4_mfeb.ir</w:t>
          </w:r>
        </w:p>
      </w:tc>
    </w:tr>
  </w:tbl>
  <w:p w14:paraId="54873154"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326DC"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7425B" w14:textId="77777777" w:rsidR="00240B30" w:rsidRDefault="00240B30" w:rsidP="008B750B">
      <w:pPr>
        <w:spacing w:line="240" w:lineRule="auto"/>
      </w:pPr>
      <w:r>
        <w:separator/>
      </w:r>
    </w:p>
  </w:footnote>
  <w:footnote w:type="continuationSeparator" w:id="0">
    <w:p w14:paraId="6229BEB1" w14:textId="77777777" w:rsidR="00240B30" w:rsidRDefault="00240B30" w:rsidP="008B750B">
      <w:pPr>
        <w:spacing w:line="240" w:lineRule="auto"/>
      </w:pPr>
      <w:r>
        <w:continuationSeparator/>
      </w:r>
    </w:p>
  </w:footnote>
  <w:footnote w:id="1">
    <w:p w14:paraId="0936C1D7" w14:textId="25D3A31D" w:rsidR="0092672C" w:rsidRPr="0092672C" w:rsidRDefault="0092672C" w:rsidP="0092672C">
      <w:pPr>
        <w:pStyle w:val="FootnoteText"/>
      </w:pPr>
      <w:r w:rsidRPr="0092672C">
        <w:footnoteRef/>
      </w:r>
      <w:r w:rsidRPr="0092672C">
        <w:rPr>
          <w:rtl/>
        </w:rPr>
        <w:t xml:space="preserve"> </w:t>
      </w:r>
      <w:hyperlink r:id="rId1" w:history="1">
        <w:r w:rsidRPr="0092672C">
          <w:rPr>
            <w:rStyle w:val="Hyperlink"/>
            <w:rtl/>
          </w:rPr>
          <w:t>فقه الش</w:t>
        </w:r>
        <w:r w:rsidRPr="0092672C">
          <w:rPr>
            <w:rStyle w:val="Hyperlink"/>
            <w:rFonts w:hint="cs"/>
            <w:rtl/>
          </w:rPr>
          <w:t>ی</w:t>
        </w:r>
        <w:r w:rsidRPr="0092672C">
          <w:rPr>
            <w:rStyle w:val="Hyperlink"/>
            <w:rFonts w:hint="eastAsia"/>
            <w:rtl/>
          </w:rPr>
          <w:t>عه،</w:t>
        </w:r>
        <w:r w:rsidRPr="0092672C">
          <w:rPr>
            <w:rStyle w:val="Hyperlink"/>
            <w:rtl/>
          </w:rPr>
          <w:t xml:space="preserve"> </w:t>
        </w:r>
        <w:r w:rsidRPr="0092672C">
          <w:rPr>
            <w:rStyle w:val="Hyperlink"/>
            <w:rFonts w:ascii="Cambria" w:hAnsi="Cambria" w:cs="Cambria" w:hint="cs"/>
            <w:rtl/>
          </w:rPr>
          <w:t> </w:t>
        </w:r>
        <w:r w:rsidRPr="0092672C">
          <w:rPr>
            <w:rStyle w:val="Hyperlink"/>
            <w:rFonts w:hint="cs"/>
            <w:rtl/>
          </w:rPr>
          <w:t>الموسوي</w:t>
        </w:r>
        <w:r w:rsidRPr="0092672C">
          <w:rPr>
            <w:rStyle w:val="Hyperlink"/>
            <w:rtl/>
          </w:rPr>
          <w:t xml:space="preserve"> </w:t>
        </w:r>
        <w:r w:rsidRPr="0092672C">
          <w:rPr>
            <w:rStyle w:val="Hyperlink"/>
            <w:rFonts w:hint="cs"/>
            <w:rtl/>
          </w:rPr>
          <w:t>الخلخالي،</w:t>
        </w:r>
        <w:r w:rsidRPr="0092672C">
          <w:rPr>
            <w:rStyle w:val="Hyperlink"/>
            <w:rtl/>
          </w:rPr>
          <w:t xml:space="preserve"> </w:t>
        </w:r>
        <w:r w:rsidRPr="0092672C">
          <w:rPr>
            <w:rStyle w:val="Hyperlink"/>
            <w:rFonts w:hint="cs"/>
            <w:rtl/>
          </w:rPr>
          <w:t>السيد</w:t>
        </w:r>
        <w:r w:rsidRPr="0092672C">
          <w:rPr>
            <w:rStyle w:val="Hyperlink"/>
            <w:rtl/>
          </w:rPr>
          <w:t xml:space="preserve"> </w:t>
        </w:r>
        <w:r w:rsidRPr="0092672C">
          <w:rPr>
            <w:rStyle w:val="Hyperlink"/>
            <w:rFonts w:hint="cs"/>
            <w:rtl/>
          </w:rPr>
          <w:t>محمد</w:t>
        </w:r>
        <w:r w:rsidRPr="0092672C">
          <w:rPr>
            <w:rStyle w:val="Hyperlink"/>
            <w:rtl/>
          </w:rPr>
          <w:t xml:space="preserve"> </w:t>
        </w:r>
        <w:r w:rsidRPr="0092672C">
          <w:rPr>
            <w:rStyle w:val="Hyperlink"/>
            <w:rFonts w:hint="cs"/>
            <w:rtl/>
          </w:rPr>
          <w:t>مهدي،</w:t>
        </w:r>
        <w:r w:rsidRPr="0092672C">
          <w:rPr>
            <w:rStyle w:val="Hyperlink"/>
            <w:rtl/>
          </w:rPr>
          <w:t xml:space="preserve"> </w:t>
        </w:r>
        <w:r w:rsidRPr="0092672C">
          <w:rPr>
            <w:rStyle w:val="Hyperlink"/>
            <w:rFonts w:hint="cs"/>
            <w:rtl/>
          </w:rPr>
          <w:t>ج</w:t>
        </w:r>
        <w:r w:rsidRPr="0092672C">
          <w:rPr>
            <w:rStyle w:val="Hyperlink"/>
            <w:rtl/>
          </w:rPr>
          <w:t>7</w:t>
        </w:r>
        <w:r w:rsidRPr="0092672C">
          <w:rPr>
            <w:rStyle w:val="Hyperlink"/>
            <w:rFonts w:hint="cs"/>
            <w:rtl/>
          </w:rPr>
          <w:t>،</w:t>
        </w:r>
        <w:r w:rsidRPr="0092672C">
          <w:rPr>
            <w:rStyle w:val="Hyperlink"/>
            <w:rtl/>
          </w:rPr>
          <w:t xml:space="preserve"> </w:t>
        </w:r>
        <w:r w:rsidRPr="0092672C">
          <w:rPr>
            <w:rStyle w:val="Hyperlink"/>
            <w:rFonts w:hint="cs"/>
            <w:rtl/>
          </w:rPr>
          <w:t>ص</w:t>
        </w:r>
        <w:r w:rsidRPr="0092672C">
          <w:rPr>
            <w:rStyle w:val="Hyperlink"/>
            <w:rtl/>
          </w:rPr>
          <w:t>281.</w:t>
        </w:r>
      </w:hyperlink>
    </w:p>
  </w:footnote>
  <w:footnote w:id="2">
    <w:p w14:paraId="1E2B7D87" w14:textId="32D54E37" w:rsidR="0092672C" w:rsidRPr="0092672C" w:rsidRDefault="0092672C" w:rsidP="0092672C">
      <w:pPr>
        <w:pStyle w:val="FootnoteText"/>
        <w:rPr>
          <w:rtl/>
        </w:rPr>
      </w:pPr>
      <w:r w:rsidRPr="0092672C">
        <w:footnoteRef/>
      </w:r>
      <w:r w:rsidRPr="0092672C">
        <w:rPr>
          <w:rtl/>
        </w:rPr>
        <w:t xml:space="preserve"> </w:t>
      </w:r>
      <w:hyperlink r:id="rId2" w:history="1">
        <w:r w:rsidRPr="0092672C">
          <w:rPr>
            <w:rStyle w:val="Hyperlink"/>
            <w:rtl/>
          </w:rPr>
          <w:t>مستمسک العروه الوثق</w:t>
        </w:r>
        <w:r w:rsidRPr="0092672C">
          <w:rPr>
            <w:rStyle w:val="Hyperlink"/>
            <w:rFonts w:hint="cs"/>
            <w:rtl/>
          </w:rPr>
          <w:t>ی</w:t>
        </w:r>
        <w:r w:rsidRPr="0092672C">
          <w:rPr>
            <w:rStyle w:val="Hyperlink"/>
            <w:rFonts w:hint="eastAsia"/>
            <w:rtl/>
          </w:rPr>
          <w:t>،</w:t>
        </w:r>
        <w:r w:rsidRPr="0092672C">
          <w:rPr>
            <w:rStyle w:val="Hyperlink"/>
            <w:rtl/>
          </w:rPr>
          <w:t xml:space="preserve"> س</w:t>
        </w:r>
        <w:r w:rsidRPr="0092672C">
          <w:rPr>
            <w:rStyle w:val="Hyperlink"/>
            <w:rFonts w:hint="cs"/>
            <w:rtl/>
          </w:rPr>
          <w:t>ی</w:t>
        </w:r>
        <w:r w:rsidRPr="0092672C">
          <w:rPr>
            <w:rStyle w:val="Hyperlink"/>
            <w:rFonts w:hint="eastAsia"/>
            <w:rtl/>
          </w:rPr>
          <w:t>د</w:t>
        </w:r>
        <w:r w:rsidRPr="0092672C">
          <w:rPr>
            <w:rStyle w:val="Hyperlink"/>
            <w:rtl/>
          </w:rPr>
          <w:t xml:space="preserve"> محسن حک</w:t>
        </w:r>
        <w:r w:rsidRPr="0092672C">
          <w:rPr>
            <w:rStyle w:val="Hyperlink"/>
            <w:rFonts w:hint="cs"/>
            <w:rtl/>
          </w:rPr>
          <w:t>ی</w:t>
        </w:r>
        <w:r w:rsidRPr="0092672C">
          <w:rPr>
            <w:rStyle w:val="Hyperlink"/>
            <w:rFonts w:hint="eastAsia"/>
            <w:rtl/>
          </w:rPr>
          <w:t>م،</w:t>
        </w:r>
        <w:r w:rsidRPr="0092672C">
          <w:rPr>
            <w:rStyle w:val="Hyperlink"/>
            <w:rtl/>
          </w:rPr>
          <w:t xml:space="preserve"> ج1، ص91.</w:t>
        </w:r>
      </w:hyperlink>
    </w:p>
  </w:footnote>
  <w:footnote w:id="3">
    <w:p w14:paraId="78A74757" w14:textId="29ABCD24" w:rsidR="0092672C" w:rsidRPr="0092672C" w:rsidRDefault="0092672C" w:rsidP="0092672C">
      <w:pPr>
        <w:pStyle w:val="FootnoteText"/>
        <w:rPr>
          <w:rtl/>
        </w:rPr>
      </w:pPr>
      <w:r w:rsidRPr="0092672C">
        <w:footnoteRef/>
      </w:r>
      <w:r w:rsidRPr="0092672C">
        <w:rPr>
          <w:rtl/>
        </w:rPr>
        <w:t xml:space="preserve"> </w:t>
      </w:r>
      <w:hyperlink r:id="rId3" w:history="1">
        <w:r w:rsidRPr="0092672C">
          <w:rPr>
            <w:rStyle w:val="Hyperlink"/>
            <w:rtl/>
          </w:rPr>
          <w:t>الکاف</w:t>
        </w:r>
        <w:r w:rsidRPr="0092672C">
          <w:rPr>
            <w:rStyle w:val="Hyperlink"/>
            <w:rFonts w:hint="cs"/>
            <w:rtl/>
          </w:rPr>
          <w:t>ی</w:t>
        </w:r>
        <w:r w:rsidRPr="0092672C">
          <w:rPr>
            <w:rStyle w:val="Hyperlink"/>
            <w:rFonts w:hint="eastAsia"/>
            <w:rtl/>
          </w:rPr>
          <w:t>،</w:t>
        </w:r>
        <w:r w:rsidRPr="0092672C">
          <w:rPr>
            <w:rStyle w:val="Hyperlink"/>
            <w:rtl/>
          </w:rPr>
          <w:t xml:space="preserve"> محمد بن </w:t>
        </w:r>
        <w:r w:rsidRPr="0092672C">
          <w:rPr>
            <w:rStyle w:val="Hyperlink"/>
            <w:rFonts w:hint="cs"/>
            <w:rtl/>
          </w:rPr>
          <w:t>ی</w:t>
        </w:r>
        <w:r w:rsidRPr="0092672C">
          <w:rPr>
            <w:rStyle w:val="Hyperlink"/>
            <w:rFonts w:hint="eastAsia"/>
            <w:rtl/>
          </w:rPr>
          <w:t>عقوب</w:t>
        </w:r>
        <w:r w:rsidRPr="0092672C">
          <w:rPr>
            <w:rStyle w:val="Hyperlink"/>
            <w:rtl/>
          </w:rPr>
          <w:t xml:space="preserve"> کل</w:t>
        </w:r>
        <w:r w:rsidRPr="0092672C">
          <w:rPr>
            <w:rStyle w:val="Hyperlink"/>
            <w:rFonts w:hint="cs"/>
            <w:rtl/>
          </w:rPr>
          <w:t>ی</w:t>
        </w:r>
        <w:r w:rsidRPr="0092672C">
          <w:rPr>
            <w:rStyle w:val="Hyperlink"/>
            <w:rFonts w:hint="eastAsia"/>
            <w:rtl/>
          </w:rPr>
          <w:t>ن</w:t>
        </w:r>
        <w:r w:rsidRPr="0092672C">
          <w:rPr>
            <w:rStyle w:val="Hyperlink"/>
            <w:rFonts w:hint="cs"/>
            <w:rtl/>
          </w:rPr>
          <w:t>ی</w:t>
        </w:r>
        <w:r w:rsidRPr="0092672C">
          <w:rPr>
            <w:rStyle w:val="Hyperlink"/>
            <w:rFonts w:hint="eastAsia"/>
            <w:rtl/>
          </w:rPr>
          <w:t>،</w:t>
        </w:r>
        <w:r w:rsidRPr="0092672C">
          <w:rPr>
            <w:rStyle w:val="Hyperlink"/>
            <w:rtl/>
          </w:rPr>
          <w:t xml:space="preserve"> ج1، ص67.</w:t>
        </w:r>
      </w:hyperlink>
    </w:p>
  </w:footnote>
  <w:footnote w:id="4">
    <w:p w14:paraId="1AA9A344" w14:textId="1A4FA1AB" w:rsidR="0092672C" w:rsidRPr="0092672C" w:rsidRDefault="0092672C" w:rsidP="0092672C">
      <w:pPr>
        <w:pStyle w:val="FootnoteText"/>
      </w:pPr>
      <w:r w:rsidRPr="0092672C">
        <w:footnoteRef/>
      </w:r>
      <w:r w:rsidRPr="0092672C">
        <w:rPr>
          <w:rtl/>
        </w:rPr>
        <w:t xml:space="preserve"> </w:t>
      </w:r>
      <w:hyperlink r:id="rId4" w:history="1">
        <w:r w:rsidRPr="0092672C">
          <w:rPr>
            <w:rStyle w:val="Hyperlink"/>
            <w:rtl/>
          </w:rPr>
          <w:t xml:space="preserve">القضاء في الفقه الإسلامي، </w:t>
        </w:r>
        <w:r w:rsidRPr="0092672C">
          <w:rPr>
            <w:rStyle w:val="Hyperlink"/>
            <w:rFonts w:ascii="Cambria" w:hAnsi="Cambria" w:cs="Cambria" w:hint="cs"/>
            <w:rtl/>
          </w:rPr>
          <w:t> </w:t>
        </w:r>
        <w:r w:rsidRPr="0092672C">
          <w:rPr>
            <w:rStyle w:val="Hyperlink"/>
            <w:rFonts w:hint="cs"/>
            <w:rtl/>
          </w:rPr>
          <w:t>الحائري،</w:t>
        </w:r>
        <w:r w:rsidRPr="0092672C">
          <w:rPr>
            <w:rStyle w:val="Hyperlink"/>
            <w:rtl/>
          </w:rPr>
          <w:t xml:space="preserve"> </w:t>
        </w:r>
        <w:r w:rsidRPr="0092672C">
          <w:rPr>
            <w:rStyle w:val="Hyperlink"/>
            <w:rFonts w:hint="cs"/>
            <w:rtl/>
          </w:rPr>
          <w:t>السيد</w:t>
        </w:r>
        <w:r w:rsidRPr="0092672C">
          <w:rPr>
            <w:rStyle w:val="Hyperlink"/>
            <w:rtl/>
          </w:rPr>
          <w:t xml:space="preserve"> </w:t>
        </w:r>
        <w:r w:rsidRPr="0092672C">
          <w:rPr>
            <w:rStyle w:val="Hyperlink"/>
            <w:rFonts w:hint="cs"/>
            <w:rtl/>
          </w:rPr>
          <w:t>كاظم</w:t>
        </w:r>
        <w:r w:rsidRPr="0092672C">
          <w:rPr>
            <w:rStyle w:val="Hyperlink"/>
            <w:rtl/>
          </w:rPr>
          <w:t xml:space="preserve"> </w:t>
        </w:r>
        <w:r w:rsidRPr="0092672C">
          <w:rPr>
            <w:rStyle w:val="Hyperlink"/>
            <w:rFonts w:hint="cs"/>
            <w:rtl/>
          </w:rPr>
          <w:t>،</w:t>
        </w:r>
        <w:r w:rsidRPr="0092672C">
          <w:rPr>
            <w:rStyle w:val="Hyperlink"/>
            <w:rtl/>
          </w:rPr>
          <w:t xml:space="preserve"> </w:t>
        </w:r>
        <w:r w:rsidRPr="0092672C">
          <w:rPr>
            <w:rStyle w:val="Hyperlink"/>
            <w:rFonts w:hint="cs"/>
            <w:rtl/>
          </w:rPr>
          <w:t>ج</w:t>
        </w:r>
        <w:r w:rsidRPr="0092672C">
          <w:rPr>
            <w:rStyle w:val="Hyperlink"/>
            <w:rtl/>
          </w:rPr>
          <w:t>1</w:t>
        </w:r>
        <w:r w:rsidRPr="0092672C">
          <w:rPr>
            <w:rStyle w:val="Hyperlink"/>
            <w:rFonts w:hint="cs"/>
            <w:rtl/>
          </w:rPr>
          <w:t>،</w:t>
        </w:r>
        <w:r w:rsidRPr="0092672C">
          <w:rPr>
            <w:rStyle w:val="Hyperlink"/>
            <w:rtl/>
          </w:rPr>
          <w:t xml:space="preserve"> </w:t>
        </w:r>
        <w:r w:rsidRPr="0092672C">
          <w:rPr>
            <w:rStyle w:val="Hyperlink"/>
            <w:rFonts w:hint="cs"/>
            <w:rtl/>
          </w:rPr>
          <w:t>ص</w:t>
        </w:r>
        <w:r w:rsidRPr="0092672C">
          <w:rPr>
            <w:rStyle w:val="Hyperlink"/>
            <w:rtl/>
          </w:rPr>
          <w:t>797.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56870"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F54DA"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381547">
      <w:rPr>
        <w:b/>
        <w:bCs/>
        <w:sz w:val="20"/>
        <w:szCs w:val="24"/>
        <w:rtl/>
      </w:rPr>
      <w:t>059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381547">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381547">
      <w:rPr>
        <w:b/>
        <w:bCs/>
        <w:color w:val="632423" w:themeColor="accent2" w:themeShade="80"/>
        <w:sz w:val="20"/>
        <w:szCs w:val="24"/>
        <w:rtl/>
      </w:rPr>
      <w:t>قائ</w:t>
    </w:r>
    <w:r w:rsidR="00381547">
      <w:rPr>
        <w:rFonts w:hint="cs"/>
        <w:b/>
        <w:bCs/>
        <w:color w:val="632423" w:themeColor="accent2" w:themeShade="80"/>
        <w:sz w:val="20"/>
        <w:szCs w:val="24"/>
        <w:rtl/>
      </w:rPr>
      <w:t>ی</w:t>
    </w:r>
    <w:r w:rsidR="00381547">
      <w:rPr>
        <w:rFonts w:hint="eastAsia"/>
        <w:b/>
        <w:bCs/>
        <w:color w:val="632423" w:themeColor="accent2" w:themeShade="80"/>
        <w:sz w:val="20"/>
        <w:szCs w:val="24"/>
        <w:rtl/>
      </w:rPr>
      <w:t>ن</w:t>
    </w:r>
    <w:r w:rsidR="0038154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381547">
      <w:rPr>
        <w:sz w:val="24"/>
        <w:szCs w:val="24"/>
        <w:rtl/>
      </w:rPr>
      <w:t>24 /10 /1398</w:t>
    </w:r>
  </w:p>
  <w:p w14:paraId="6AB70AC1"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381547">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381547">
      <w:rPr>
        <w:sz w:val="24"/>
        <w:szCs w:val="24"/>
        <w:rtl/>
      </w:rPr>
      <w:t>مهد</w:t>
    </w:r>
    <w:r w:rsidR="00381547">
      <w:rPr>
        <w:rFonts w:hint="cs"/>
        <w:sz w:val="24"/>
        <w:szCs w:val="24"/>
        <w:rtl/>
      </w:rPr>
      <w:t>ی</w:t>
    </w:r>
    <w:r w:rsidR="00381547">
      <w:rPr>
        <w:sz w:val="24"/>
        <w:szCs w:val="24"/>
        <w:rtl/>
      </w:rPr>
      <w:t xml:space="preserve"> خسروب</w:t>
    </w:r>
    <w:r w:rsidR="00381547">
      <w:rPr>
        <w:rFonts w:hint="cs"/>
        <w:sz w:val="24"/>
        <w:szCs w:val="24"/>
        <w:rtl/>
      </w:rPr>
      <w:t>ی</w:t>
    </w:r>
    <w:r w:rsidR="00381547">
      <w:rPr>
        <w:rFonts w:hint="eastAsia"/>
        <w:sz w:val="24"/>
        <w:szCs w:val="24"/>
        <w:rtl/>
      </w:rPr>
      <w:t>گ</w:t>
    </w:r>
    <w:r w:rsidR="00381547">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381547">
      <w:rPr>
        <w:sz w:val="24"/>
        <w:szCs w:val="24"/>
        <w:rtl/>
      </w:rPr>
      <w:t>احکام مترتب برقضا</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05D78"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B732E"/>
    <w:rsid w:val="001C1362"/>
    <w:rsid w:val="001D2E9A"/>
    <w:rsid w:val="001D597F"/>
    <w:rsid w:val="001E3FD4"/>
    <w:rsid w:val="0020241A"/>
    <w:rsid w:val="00203821"/>
    <w:rsid w:val="00211632"/>
    <w:rsid w:val="0021630D"/>
    <w:rsid w:val="00240B30"/>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1547"/>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6CCD"/>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2961"/>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1D9"/>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672C"/>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520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3A57"/>
    <w:rsid w:val="00EA45E7"/>
    <w:rsid w:val="00EB78E3"/>
    <w:rsid w:val="00EB7BE3"/>
    <w:rsid w:val="00EC1C4B"/>
    <w:rsid w:val="00EC735A"/>
    <w:rsid w:val="00ED5F38"/>
    <w:rsid w:val="00EF27FE"/>
    <w:rsid w:val="00EF6A80"/>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1994"/>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507C1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92672C"/>
    <w:rPr>
      <w:color w:val="605E5C"/>
      <w:shd w:val="clear" w:color="auto" w:fill="E1DFDD"/>
    </w:rPr>
  </w:style>
  <w:style w:type="character" w:styleId="FollowedHyperlink">
    <w:name w:val="FollowedHyperlink"/>
    <w:basedOn w:val="DefaultParagraphFont"/>
    <w:uiPriority w:val="99"/>
    <w:semiHidden/>
    <w:unhideWhenUsed/>
    <w:rsid w:val="009267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1/67/&#1605;&#1606;&#1575;&#1586;&#1593;&#1577;" TargetMode="External"/><Relationship Id="rId2" Type="http://schemas.openxmlformats.org/officeDocument/2006/relationships/hyperlink" Target="http://lib.eshia.ir/10152/1/91/&#1637;&#1639;" TargetMode="External"/><Relationship Id="rId1" Type="http://schemas.openxmlformats.org/officeDocument/2006/relationships/hyperlink" Target="http://lib.eshia.ir/71841/7/281/&#1602;&#1591;&#1593;&#1577;" TargetMode="External"/><Relationship Id="rId4" Type="http://schemas.openxmlformats.org/officeDocument/2006/relationships/hyperlink" Target="http://lib.eshia.ir/10030/1/797/&#1576;&#1604;&#1575;&#1606;&#1602;&#15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DFE23-F9DC-4EE1-ADF2-3CB174A69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2</Pages>
  <Words>480</Words>
  <Characters>2737</Characters>
  <Application>Microsoft Office Word</Application>
  <DocSecurity>0</DocSecurity>
  <Lines>22</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3211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2020-01-25T08:52:00Z</cp:lastPrinted>
  <dcterms:created xsi:type="dcterms:W3CDTF">2020-01-25T08:52:00Z</dcterms:created>
  <dcterms:modified xsi:type="dcterms:W3CDTF">2020-01-25T08:53:00Z</dcterms:modified>
  <cp:contentStatus>ویرایش 2.5</cp:contentStatus>
  <cp:version>2.7</cp:version>
</cp:coreProperties>
</file>