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F631AA" w14:textId="77777777" w:rsidR="008B750B" w:rsidRPr="008A522A" w:rsidRDefault="00783473" w:rsidP="009C66D5">
      <w:pPr>
        <w:jc w:val="center"/>
        <w:rPr>
          <w:rtl/>
        </w:rPr>
      </w:pPr>
      <w:r>
        <w:rPr>
          <w:rFonts w:hint="cs"/>
          <w:noProof/>
          <w:rtl/>
        </w:rPr>
        <w:drawing>
          <wp:inline distT="0" distB="0" distL="0" distR="0" wp14:anchorId="3449DBC6" wp14:editId="1080F80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7DE75A9A" w14:textId="1EC4E1B8" w:rsidR="00372094"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1528520" w:history="1">
        <w:r w:rsidR="00372094" w:rsidRPr="002A482B">
          <w:rPr>
            <w:rStyle w:val="Hyperlink"/>
            <w:rFonts w:hint="eastAsia"/>
            <w:noProof/>
            <w:rtl/>
          </w:rPr>
          <w:t>کلام</w:t>
        </w:r>
        <w:r w:rsidR="00372094" w:rsidRPr="002A482B">
          <w:rPr>
            <w:rStyle w:val="Hyperlink"/>
            <w:noProof/>
            <w:rtl/>
          </w:rPr>
          <w:t xml:space="preserve"> </w:t>
        </w:r>
        <w:r w:rsidR="00372094" w:rsidRPr="002A482B">
          <w:rPr>
            <w:rStyle w:val="Hyperlink"/>
            <w:rFonts w:hint="eastAsia"/>
            <w:noProof/>
            <w:rtl/>
          </w:rPr>
          <w:t>س</w:t>
        </w:r>
        <w:r w:rsidR="00372094" w:rsidRPr="002A482B">
          <w:rPr>
            <w:rStyle w:val="Hyperlink"/>
            <w:rFonts w:hint="cs"/>
            <w:noProof/>
            <w:rtl/>
          </w:rPr>
          <w:t>ی</w:t>
        </w:r>
        <w:r w:rsidR="00372094" w:rsidRPr="002A482B">
          <w:rPr>
            <w:rStyle w:val="Hyperlink"/>
            <w:rFonts w:hint="eastAsia"/>
            <w:noProof/>
            <w:rtl/>
          </w:rPr>
          <w:t>د</w:t>
        </w:r>
        <w:r w:rsidR="00372094" w:rsidRPr="002A482B">
          <w:rPr>
            <w:rStyle w:val="Hyperlink"/>
            <w:noProof/>
            <w:rtl/>
          </w:rPr>
          <w:t xml:space="preserve"> </w:t>
        </w:r>
        <w:r w:rsidR="00372094" w:rsidRPr="002A482B">
          <w:rPr>
            <w:rStyle w:val="Hyperlink"/>
            <w:rFonts w:hint="cs"/>
            <w:noProof/>
            <w:rtl/>
          </w:rPr>
          <w:t>ی</w:t>
        </w:r>
        <w:r w:rsidR="00372094" w:rsidRPr="002A482B">
          <w:rPr>
            <w:rStyle w:val="Hyperlink"/>
            <w:rFonts w:hint="eastAsia"/>
            <w:noProof/>
            <w:rtl/>
          </w:rPr>
          <w:t>زد</w:t>
        </w:r>
        <w:r w:rsidR="00372094" w:rsidRPr="002A482B">
          <w:rPr>
            <w:rStyle w:val="Hyperlink"/>
            <w:rFonts w:hint="cs"/>
            <w:noProof/>
            <w:rtl/>
          </w:rPr>
          <w:t>ی</w:t>
        </w:r>
        <w:r w:rsidR="00372094" w:rsidRPr="002A482B">
          <w:rPr>
            <w:rStyle w:val="Hyperlink"/>
            <w:noProof/>
            <w:rtl/>
          </w:rPr>
          <w:t xml:space="preserve"> </w:t>
        </w:r>
        <w:r w:rsidR="00372094" w:rsidRPr="002A482B">
          <w:rPr>
            <w:rStyle w:val="Hyperlink"/>
            <w:rFonts w:hint="eastAsia"/>
            <w:noProof/>
            <w:rtl/>
          </w:rPr>
          <w:t>در</w:t>
        </w:r>
        <w:r w:rsidR="00372094" w:rsidRPr="002A482B">
          <w:rPr>
            <w:rStyle w:val="Hyperlink"/>
            <w:noProof/>
            <w:rtl/>
          </w:rPr>
          <w:t xml:space="preserve"> </w:t>
        </w:r>
        <w:r w:rsidR="00372094" w:rsidRPr="002A482B">
          <w:rPr>
            <w:rStyle w:val="Hyperlink"/>
            <w:rFonts w:hint="eastAsia"/>
            <w:noProof/>
            <w:rtl/>
          </w:rPr>
          <w:t>ولا</w:t>
        </w:r>
        <w:r w:rsidR="00372094" w:rsidRPr="002A482B">
          <w:rPr>
            <w:rStyle w:val="Hyperlink"/>
            <w:rFonts w:hint="cs"/>
            <w:noProof/>
            <w:rtl/>
          </w:rPr>
          <w:t>ی</w:t>
        </w:r>
        <w:r w:rsidR="00372094" w:rsidRPr="002A482B">
          <w:rPr>
            <w:rStyle w:val="Hyperlink"/>
            <w:rFonts w:hint="eastAsia"/>
            <w:noProof/>
            <w:rtl/>
          </w:rPr>
          <w:t>ت</w:t>
        </w:r>
        <w:r w:rsidR="00372094" w:rsidRPr="002A482B">
          <w:rPr>
            <w:rStyle w:val="Hyperlink"/>
            <w:noProof/>
            <w:rtl/>
          </w:rPr>
          <w:t xml:space="preserve"> </w:t>
        </w:r>
        <w:r w:rsidR="00372094" w:rsidRPr="002A482B">
          <w:rPr>
            <w:rStyle w:val="Hyperlink"/>
            <w:rFonts w:hint="eastAsia"/>
            <w:noProof/>
            <w:rtl/>
          </w:rPr>
          <w:t>بر</w:t>
        </w:r>
        <w:r w:rsidR="00372094" w:rsidRPr="002A482B">
          <w:rPr>
            <w:rStyle w:val="Hyperlink"/>
            <w:noProof/>
            <w:rtl/>
          </w:rPr>
          <w:t xml:space="preserve"> </w:t>
        </w:r>
        <w:r w:rsidR="00372094" w:rsidRPr="002A482B">
          <w:rPr>
            <w:rStyle w:val="Hyperlink"/>
            <w:rFonts w:hint="eastAsia"/>
            <w:noProof/>
            <w:rtl/>
          </w:rPr>
          <w:t>تع</w:t>
        </w:r>
        <w:r w:rsidR="00372094" w:rsidRPr="002A482B">
          <w:rPr>
            <w:rStyle w:val="Hyperlink"/>
            <w:rFonts w:hint="cs"/>
            <w:noProof/>
            <w:rtl/>
          </w:rPr>
          <w:t>یی</w:t>
        </w:r>
        <w:r w:rsidR="00372094" w:rsidRPr="002A482B">
          <w:rPr>
            <w:rStyle w:val="Hyperlink"/>
            <w:rFonts w:hint="eastAsia"/>
            <w:noProof/>
            <w:rtl/>
          </w:rPr>
          <w:t>ن</w:t>
        </w:r>
        <w:r w:rsidR="00372094" w:rsidRPr="002A482B">
          <w:rPr>
            <w:rStyle w:val="Hyperlink"/>
            <w:noProof/>
            <w:rtl/>
          </w:rPr>
          <w:t xml:space="preserve"> </w:t>
        </w:r>
        <w:r w:rsidR="00372094" w:rsidRPr="002A482B">
          <w:rPr>
            <w:rStyle w:val="Hyperlink"/>
            <w:rFonts w:hint="eastAsia"/>
            <w:noProof/>
            <w:rtl/>
          </w:rPr>
          <w:t>قاض</w:t>
        </w:r>
        <w:r w:rsidR="00372094" w:rsidRPr="002A482B">
          <w:rPr>
            <w:rStyle w:val="Hyperlink"/>
            <w:rFonts w:hint="cs"/>
            <w:noProof/>
            <w:rtl/>
          </w:rPr>
          <w:t>ی</w:t>
        </w:r>
        <w:r w:rsidR="00372094">
          <w:rPr>
            <w:noProof/>
            <w:webHidden/>
            <w:rtl/>
          </w:rPr>
          <w:tab/>
        </w:r>
        <w:r w:rsidR="00372094">
          <w:rPr>
            <w:noProof/>
            <w:webHidden/>
            <w:rtl/>
          </w:rPr>
          <w:fldChar w:fldCharType="begin"/>
        </w:r>
        <w:r w:rsidR="00372094">
          <w:rPr>
            <w:noProof/>
            <w:webHidden/>
            <w:rtl/>
          </w:rPr>
          <w:instrText xml:space="preserve"> </w:instrText>
        </w:r>
        <w:r w:rsidR="00372094">
          <w:rPr>
            <w:noProof/>
            <w:webHidden/>
          </w:rPr>
          <w:instrText>PAGEREF</w:instrText>
        </w:r>
        <w:r w:rsidR="00372094">
          <w:rPr>
            <w:noProof/>
            <w:webHidden/>
            <w:rtl/>
          </w:rPr>
          <w:instrText xml:space="preserve"> _</w:instrText>
        </w:r>
        <w:r w:rsidR="00372094">
          <w:rPr>
            <w:noProof/>
            <w:webHidden/>
          </w:rPr>
          <w:instrText>Toc31528520 \h</w:instrText>
        </w:r>
        <w:r w:rsidR="00372094">
          <w:rPr>
            <w:noProof/>
            <w:webHidden/>
            <w:rtl/>
          </w:rPr>
          <w:instrText xml:space="preserve"> </w:instrText>
        </w:r>
        <w:r w:rsidR="00372094">
          <w:rPr>
            <w:noProof/>
            <w:webHidden/>
            <w:rtl/>
          </w:rPr>
        </w:r>
        <w:r w:rsidR="00372094">
          <w:rPr>
            <w:noProof/>
            <w:webHidden/>
            <w:rtl/>
          </w:rPr>
          <w:fldChar w:fldCharType="separate"/>
        </w:r>
        <w:r w:rsidR="00A336F8">
          <w:rPr>
            <w:noProof/>
            <w:webHidden/>
            <w:rtl/>
          </w:rPr>
          <w:t>1</w:t>
        </w:r>
        <w:r w:rsidR="00372094">
          <w:rPr>
            <w:noProof/>
            <w:webHidden/>
            <w:rtl/>
          </w:rPr>
          <w:fldChar w:fldCharType="end"/>
        </w:r>
      </w:hyperlink>
    </w:p>
    <w:p w14:paraId="2F8BBF08" w14:textId="14CE3BE4" w:rsidR="00372094" w:rsidRDefault="003324B3">
      <w:pPr>
        <w:pStyle w:val="TOC2"/>
        <w:tabs>
          <w:tab w:val="right" w:leader="dot" w:pos="10194"/>
        </w:tabs>
        <w:rPr>
          <w:rFonts w:asciiTheme="minorHAnsi" w:eastAsiaTheme="minorEastAsia" w:hAnsiTheme="minorHAnsi" w:cstheme="minorBidi"/>
          <w:bCs w:val="0"/>
          <w:noProof/>
          <w:color w:val="auto"/>
          <w:szCs w:val="22"/>
          <w:rtl/>
        </w:rPr>
      </w:pPr>
      <w:hyperlink w:anchor="_Toc31528521" w:history="1">
        <w:r w:rsidR="00372094" w:rsidRPr="002A482B">
          <w:rPr>
            <w:rStyle w:val="Hyperlink"/>
            <w:rFonts w:hint="eastAsia"/>
            <w:noProof/>
            <w:rtl/>
          </w:rPr>
          <w:t>اشکال</w:t>
        </w:r>
        <w:r w:rsidR="00372094" w:rsidRPr="002A482B">
          <w:rPr>
            <w:rStyle w:val="Hyperlink"/>
            <w:noProof/>
            <w:rtl/>
          </w:rPr>
          <w:t xml:space="preserve"> </w:t>
        </w:r>
        <w:r w:rsidR="00372094" w:rsidRPr="002A482B">
          <w:rPr>
            <w:rStyle w:val="Hyperlink"/>
            <w:rFonts w:hint="eastAsia"/>
            <w:noProof/>
            <w:rtl/>
          </w:rPr>
          <w:t>آقا</w:t>
        </w:r>
        <w:r w:rsidR="00372094" w:rsidRPr="002A482B">
          <w:rPr>
            <w:rStyle w:val="Hyperlink"/>
            <w:noProof/>
            <w:rtl/>
          </w:rPr>
          <w:t xml:space="preserve"> </w:t>
        </w:r>
        <w:r w:rsidR="00372094" w:rsidRPr="002A482B">
          <w:rPr>
            <w:rStyle w:val="Hyperlink"/>
            <w:rFonts w:hint="eastAsia"/>
            <w:noProof/>
            <w:rtl/>
          </w:rPr>
          <w:t>ض</w:t>
        </w:r>
        <w:r w:rsidR="00372094" w:rsidRPr="002A482B">
          <w:rPr>
            <w:rStyle w:val="Hyperlink"/>
            <w:rFonts w:hint="cs"/>
            <w:noProof/>
            <w:rtl/>
          </w:rPr>
          <w:t>ی</w:t>
        </w:r>
        <w:r w:rsidR="00372094" w:rsidRPr="002A482B">
          <w:rPr>
            <w:rStyle w:val="Hyperlink"/>
            <w:rFonts w:hint="eastAsia"/>
            <w:noProof/>
            <w:rtl/>
          </w:rPr>
          <w:t>اء</w:t>
        </w:r>
        <w:r w:rsidR="00372094" w:rsidRPr="002A482B">
          <w:rPr>
            <w:rStyle w:val="Hyperlink"/>
            <w:noProof/>
            <w:rtl/>
          </w:rPr>
          <w:t xml:space="preserve"> </w:t>
        </w:r>
        <w:r w:rsidR="00372094" w:rsidRPr="002A482B">
          <w:rPr>
            <w:rStyle w:val="Hyperlink"/>
            <w:rFonts w:hint="eastAsia"/>
            <w:noProof/>
            <w:rtl/>
          </w:rPr>
          <w:t>به</w:t>
        </w:r>
        <w:r w:rsidR="00372094" w:rsidRPr="002A482B">
          <w:rPr>
            <w:rStyle w:val="Hyperlink"/>
            <w:noProof/>
            <w:rtl/>
          </w:rPr>
          <w:t xml:space="preserve"> </w:t>
        </w:r>
        <w:r w:rsidR="00372094" w:rsidRPr="002A482B">
          <w:rPr>
            <w:rStyle w:val="Hyperlink"/>
            <w:rFonts w:hint="eastAsia"/>
            <w:noProof/>
            <w:rtl/>
          </w:rPr>
          <w:t>س</w:t>
        </w:r>
        <w:r w:rsidR="00372094" w:rsidRPr="002A482B">
          <w:rPr>
            <w:rStyle w:val="Hyperlink"/>
            <w:rFonts w:hint="cs"/>
            <w:noProof/>
            <w:rtl/>
          </w:rPr>
          <w:t>ی</w:t>
        </w:r>
        <w:r w:rsidR="00372094" w:rsidRPr="002A482B">
          <w:rPr>
            <w:rStyle w:val="Hyperlink"/>
            <w:rFonts w:hint="eastAsia"/>
            <w:noProof/>
            <w:rtl/>
          </w:rPr>
          <w:t>د</w:t>
        </w:r>
        <w:r w:rsidR="00372094" w:rsidRPr="002A482B">
          <w:rPr>
            <w:rStyle w:val="Hyperlink"/>
            <w:noProof/>
            <w:rtl/>
          </w:rPr>
          <w:t xml:space="preserve"> </w:t>
        </w:r>
        <w:r w:rsidR="00372094" w:rsidRPr="002A482B">
          <w:rPr>
            <w:rStyle w:val="Hyperlink"/>
            <w:rFonts w:hint="cs"/>
            <w:noProof/>
            <w:rtl/>
          </w:rPr>
          <w:t>ی</w:t>
        </w:r>
        <w:r w:rsidR="00372094" w:rsidRPr="002A482B">
          <w:rPr>
            <w:rStyle w:val="Hyperlink"/>
            <w:rFonts w:hint="eastAsia"/>
            <w:noProof/>
            <w:rtl/>
          </w:rPr>
          <w:t>زد</w:t>
        </w:r>
        <w:r w:rsidR="00372094" w:rsidRPr="002A482B">
          <w:rPr>
            <w:rStyle w:val="Hyperlink"/>
            <w:rFonts w:hint="cs"/>
            <w:noProof/>
            <w:rtl/>
          </w:rPr>
          <w:t>ی</w:t>
        </w:r>
        <w:r w:rsidR="00372094">
          <w:rPr>
            <w:noProof/>
            <w:webHidden/>
            <w:rtl/>
          </w:rPr>
          <w:tab/>
        </w:r>
        <w:r w:rsidR="00372094">
          <w:rPr>
            <w:noProof/>
            <w:webHidden/>
            <w:rtl/>
          </w:rPr>
          <w:fldChar w:fldCharType="begin"/>
        </w:r>
        <w:r w:rsidR="00372094">
          <w:rPr>
            <w:noProof/>
            <w:webHidden/>
            <w:rtl/>
          </w:rPr>
          <w:instrText xml:space="preserve"> </w:instrText>
        </w:r>
        <w:r w:rsidR="00372094">
          <w:rPr>
            <w:noProof/>
            <w:webHidden/>
          </w:rPr>
          <w:instrText>PAGEREF</w:instrText>
        </w:r>
        <w:r w:rsidR="00372094">
          <w:rPr>
            <w:noProof/>
            <w:webHidden/>
            <w:rtl/>
          </w:rPr>
          <w:instrText xml:space="preserve"> _</w:instrText>
        </w:r>
        <w:r w:rsidR="00372094">
          <w:rPr>
            <w:noProof/>
            <w:webHidden/>
          </w:rPr>
          <w:instrText>Toc31528521 \h</w:instrText>
        </w:r>
        <w:r w:rsidR="00372094">
          <w:rPr>
            <w:noProof/>
            <w:webHidden/>
            <w:rtl/>
          </w:rPr>
          <w:instrText xml:space="preserve"> </w:instrText>
        </w:r>
        <w:r w:rsidR="00372094">
          <w:rPr>
            <w:noProof/>
            <w:webHidden/>
            <w:rtl/>
          </w:rPr>
        </w:r>
        <w:r w:rsidR="00372094">
          <w:rPr>
            <w:noProof/>
            <w:webHidden/>
            <w:rtl/>
          </w:rPr>
          <w:fldChar w:fldCharType="separate"/>
        </w:r>
        <w:r w:rsidR="00A336F8">
          <w:rPr>
            <w:noProof/>
            <w:webHidden/>
            <w:rtl/>
          </w:rPr>
          <w:t>1</w:t>
        </w:r>
        <w:r w:rsidR="00372094">
          <w:rPr>
            <w:noProof/>
            <w:webHidden/>
            <w:rtl/>
          </w:rPr>
          <w:fldChar w:fldCharType="end"/>
        </w:r>
      </w:hyperlink>
    </w:p>
    <w:p w14:paraId="1F2C5DC4" w14:textId="0B43E9E2" w:rsidR="00372094" w:rsidRDefault="003324B3">
      <w:pPr>
        <w:pStyle w:val="TOC1"/>
        <w:rPr>
          <w:rFonts w:asciiTheme="minorHAnsi" w:eastAsiaTheme="minorEastAsia" w:hAnsiTheme="minorHAnsi" w:cstheme="minorBidi"/>
          <w:noProof/>
          <w:color w:val="auto"/>
          <w:szCs w:val="22"/>
          <w:rtl/>
        </w:rPr>
      </w:pPr>
      <w:hyperlink w:anchor="_Toc31528522" w:history="1">
        <w:r w:rsidR="00372094" w:rsidRPr="002A482B">
          <w:rPr>
            <w:rStyle w:val="Hyperlink"/>
            <w:rFonts w:hint="eastAsia"/>
            <w:noProof/>
            <w:rtl/>
          </w:rPr>
          <w:t>نظر</w:t>
        </w:r>
        <w:r w:rsidR="00372094" w:rsidRPr="002A482B">
          <w:rPr>
            <w:rStyle w:val="Hyperlink"/>
            <w:noProof/>
            <w:rtl/>
          </w:rPr>
          <w:t xml:space="preserve"> </w:t>
        </w:r>
        <w:r w:rsidR="00372094" w:rsidRPr="002A482B">
          <w:rPr>
            <w:rStyle w:val="Hyperlink"/>
            <w:rFonts w:hint="eastAsia"/>
            <w:noProof/>
            <w:rtl/>
          </w:rPr>
          <w:t>مشهور</w:t>
        </w:r>
        <w:r w:rsidR="00372094" w:rsidRPr="002A482B">
          <w:rPr>
            <w:rStyle w:val="Hyperlink"/>
            <w:noProof/>
            <w:rtl/>
          </w:rPr>
          <w:t xml:space="preserve"> </w:t>
        </w:r>
        <w:r w:rsidR="00372094" w:rsidRPr="002A482B">
          <w:rPr>
            <w:rStyle w:val="Hyperlink"/>
            <w:rFonts w:hint="eastAsia"/>
            <w:noProof/>
            <w:rtl/>
          </w:rPr>
          <w:t>در</w:t>
        </w:r>
        <w:r w:rsidR="00372094" w:rsidRPr="002A482B">
          <w:rPr>
            <w:rStyle w:val="Hyperlink"/>
            <w:noProof/>
            <w:rtl/>
          </w:rPr>
          <w:t xml:space="preserve"> </w:t>
        </w:r>
        <w:r w:rsidR="00372094" w:rsidRPr="002A482B">
          <w:rPr>
            <w:rStyle w:val="Hyperlink"/>
            <w:rFonts w:hint="eastAsia"/>
            <w:noProof/>
            <w:rtl/>
          </w:rPr>
          <w:t>ولا</w:t>
        </w:r>
        <w:r w:rsidR="00372094" w:rsidRPr="002A482B">
          <w:rPr>
            <w:rStyle w:val="Hyperlink"/>
            <w:rFonts w:hint="cs"/>
            <w:noProof/>
            <w:rtl/>
          </w:rPr>
          <w:t>ی</w:t>
        </w:r>
        <w:r w:rsidR="00372094" w:rsidRPr="002A482B">
          <w:rPr>
            <w:rStyle w:val="Hyperlink"/>
            <w:rFonts w:hint="eastAsia"/>
            <w:noProof/>
            <w:rtl/>
          </w:rPr>
          <w:t>ت</w:t>
        </w:r>
        <w:r w:rsidR="00372094" w:rsidRPr="002A482B">
          <w:rPr>
            <w:rStyle w:val="Hyperlink"/>
            <w:noProof/>
            <w:rtl/>
          </w:rPr>
          <w:t xml:space="preserve"> </w:t>
        </w:r>
        <w:r w:rsidR="00372094" w:rsidRPr="002A482B">
          <w:rPr>
            <w:rStyle w:val="Hyperlink"/>
            <w:rFonts w:hint="eastAsia"/>
            <w:noProof/>
            <w:rtl/>
          </w:rPr>
          <w:t>بر</w:t>
        </w:r>
        <w:r w:rsidR="00372094" w:rsidRPr="002A482B">
          <w:rPr>
            <w:rStyle w:val="Hyperlink"/>
            <w:noProof/>
            <w:rtl/>
          </w:rPr>
          <w:t xml:space="preserve"> </w:t>
        </w:r>
        <w:r w:rsidR="00372094" w:rsidRPr="002A482B">
          <w:rPr>
            <w:rStyle w:val="Hyperlink"/>
            <w:rFonts w:hint="eastAsia"/>
            <w:noProof/>
            <w:rtl/>
          </w:rPr>
          <w:t>تع</w:t>
        </w:r>
        <w:r w:rsidR="00372094" w:rsidRPr="002A482B">
          <w:rPr>
            <w:rStyle w:val="Hyperlink"/>
            <w:rFonts w:hint="cs"/>
            <w:noProof/>
            <w:rtl/>
          </w:rPr>
          <w:t>یی</w:t>
        </w:r>
        <w:r w:rsidR="00372094" w:rsidRPr="002A482B">
          <w:rPr>
            <w:rStyle w:val="Hyperlink"/>
            <w:rFonts w:hint="eastAsia"/>
            <w:noProof/>
            <w:rtl/>
          </w:rPr>
          <w:t>ن</w:t>
        </w:r>
        <w:r w:rsidR="00372094" w:rsidRPr="002A482B">
          <w:rPr>
            <w:rStyle w:val="Hyperlink"/>
            <w:noProof/>
            <w:rtl/>
          </w:rPr>
          <w:t xml:space="preserve"> </w:t>
        </w:r>
        <w:r w:rsidR="00372094" w:rsidRPr="002A482B">
          <w:rPr>
            <w:rStyle w:val="Hyperlink"/>
            <w:rFonts w:hint="eastAsia"/>
            <w:noProof/>
            <w:rtl/>
          </w:rPr>
          <w:t>قاض</w:t>
        </w:r>
        <w:r w:rsidR="00372094" w:rsidRPr="002A482B">
          <w:rPr>
            <w:rStyle w:val="Hyperlink"/>
            <w:rFonts w:hint="cs"/>
            <w:noProof/>
            <w:rtl/>
          </w:rPr>
          <w:t>ی</w:t>
        </w:r>
        <w:r w:rsidR="00372094">
          <w:rPr>
            <w:noProof/>
            <w:webHidden/>
            <w:rtl/>
          </w:rPr>
          <w:tab/>
        </w:r>
        <w:r w:rsidR="00372094">
          <w:rPr>
            <w:noProof/>
            <w:webHidden/>
            <w:rtl/>
          </w:rPr>
          <w:fldChar w:fldCharType="begin"/>
        </w:r>
        <w:r w:rsidR="00372094">
          <w:rPr>
            <w:noProof/>
            <w:webHidden/>
            <w:rtl/>
          </w:rPr>
          <w:instrText xml:space="preserve"> </w:instrText>
        </w:r>
        <w:r w:rsidR="00372094">
          <w:rPr>
            <w:noProof/>
            <w:webHidden/>
          </w:rPr>
          <w:instrText>PAGEREF</w:instrText>
        </w:r>
        <w:r w:rsidR="00372094">
          <w:rPr>
            <w:noProof/>
            <w:webHidden/>
            <w:rtl/>
          </w:rPr>
          <w:instrText xml:space="preserve"> _</w:instrText>
        </w:r>
        <w:r w:rsidR="00372094">
          <w:rPr>
            <w:noProof/>
            <w:webHidden/>
          </w:rPr>
          <w:instrText>Toc31528522 \h</w:instrText>
        </w:r>
        <w:r w:rsidR="00372094">
          <w:rPr>
            <w:noProof/>
            <w:webHidden/>
            <w:rtl/>
          </w:rPr>
          <w:instrText xml:space="preserve"> </w:instrText>
        </w:r>
        <w:r w:rsidR="00372094">
          <w:rPr>
            <w:noProof/>
            <w:webHidden/>
            <w:rtl/>
          </w:rPr>
        </w:r>
        <w:r w:rsidR="00372094">
          <w:rPr>
            <w:noProof/>
            <w:webHidden/>
            <w:rtl/>
          </w:rPr>
          <w:fldChar w:fldCharType="separate"/>
        </w:r>
        <w:r w:rsidR="00A336F8">
          <w:rPr>
            <w:noProof/>
            <w:webHidden/>
            <w:rtl/>
          </w:rPr>
          <w:t>2</w:t>
        </w:r>
        <w:r w:rsidR="00372094">
          <w:rPr>
            <w:noProof/>
            <w:webHidden/>
            <w:rtl/>
          </w:rPr>
          <w:fldChar w:fldCharType="end"/>
        </w:r>
      </w:hyperlink>
    </w:p>
    <w:p w14:paraId="0415E31A" w14:textId="38E1A6CE" w:rsidR="00372094" w:rsidRDefault="003324B3">
      <w:pPr>
        <w:pStyle w:val="TOC2"/>
        <w:tabs>
          <w:tab w:val="right" w:leader="dot" w:pos="10194"/>
        </w:tabs>
        <w:rPr>
          <w:rFonts w:asciiTheme="minorHAnsi" w:eastAsiaTheme="minorEastAsia" w:hAnsiTheme="minorHAnsi" w:cstheme="minorBidi"/>
          <w:bCs w:val="0"/>
          <w:noProof/>
          <w:color w:val="auto"/>
          <w:szCs w:val="22"/>
          <w:rtl/>
        </w:rPr>
      </w:pPr>
      <w:hyperlink w:anchor="_Toc31528523" w:history="1">
        <w:r w:rsidR="00372094" w:rsidRPr="002A482B">
          <w:rPr>
            <w:rStyle w:val="Hyperlink"/>
            <w:rFonts w:hint="eastAsia"/>
            <w:noProof/>
            <w:rtl/>
          </w:rPr>
          <w:t>دل</w:t>
        </w:r>
        <w:r w:rsidR="00372094" w:rsidRPr="002A482B">
          <w:rPr>
            <w:rStyle w:val="Hyperlink"/>
            <w:rFonts w:hint="cs"/>
            <w:noProof/>
            <w:rtl/>
          </w:rPr>
          <w:t>ی</w:t>
        </w:r>
        <w:r w:rsidR="00372094" w:rsidRPr="002A482B">
          <w:rPr>
            <w:rStyle w:val="Hyperlink"/>
            <w:rFonts w:hint="eastAsia"/>
            <w:noProof/>
            <w:rtl/>
          </w:rPr>
          <w:t>ل</w:t>
        </w:r>
        <w:r w:rsidR="00372094" w:rsidRPr="002A482B">
          <w:rPr>
            <w:rStyle w:val="Hyperlink"/>
            <w:noProof/>
            <w:rtl/>
          </w:rPr>
          <w:t xml:space="preserve"> </w:t>
        </w:r>
        <w:r w:rsidR="00372094" w:rsidRPr="002A482B">
          <w:rPr>
            <w:rStyle w:val="Hyperlink"/>
            <w:rFonts w:hint="eastAsia"/>
            <w:noProof/>
            <w:rtl/>
          </w:rPr>
          <w:t>قول</w:t>
        </w:r>
        <w:r w:rsidR="00372094" w:rsidRPr="002A482B">
          <w:rPr>
            <w:rStyle w:val="Hyperlink"/>
            <w:noProof/>
            <w:rtl/>
          </w:rPr>
          <w:t xml:space="preserve"> </w:t>
        </w:r>
        <w:r w:rsidR="00372094" w:rsidRPr="002A482B">
          <w:rPr>
            <w:rStyle w:val="Hyperlink"/>
            <w:rFonts w:hint="eastAsia"/>
            <w:noProof/>
            <w:rtl/>
          </w:rPr>
          <w:t>مشهور</w:t>
        </w:r>
        <w:r w:rsidR="00372094">
          <w:rPr>
            <w:noProof/>
            <w:webHidden/>
            <w:rtl/>
          </w:rPr>
          <w:tab/>
        </w:r>
        <w:r w:rsidR="00372094">
          <w:rPr>
            <w:noProof/>
            <w:webHidden/>
            <w:rtl/>
          </w:rPr>
          <w:fldChar w:fldCharType="begin"/>
        </w:r>
        <w:r w:rsidR="00372094">
          <w:rPr>
            <w:noProof/>
            <w:webHidden/>
            <w:rtl/>
          </w:rPr>
          <w:instrText xml:space="preserve"> </w:instrText>
        </w:r>
        <w:r w:rsidR="00372094">
          <w:rPr>
            <w:noProof/>
            <w:webHidden/>
          </w:rPr>
          <w:instrText>PAGEREF</w:instrText>
        </w:r>
        <w:r w:rsidR="00372094">
          <w:rPr>
            <w:noProof/>
            <w:webHidden/>
            <w:rtl/>
          </w:rPr>
          <w:instrText xml:space="preserve"> _</w:instrText>
        </w:r>
        <w:r w:rsidR="00372094">
          <w:rPr>
            <w:noProof/>
            <w:webHidden/>
          </w:rPr>
          <w:instrText>Toc31528523 \h</w:instrText>
        </w:r>
        <w:r w:rsidR="00372094">
          <w:rPr>
            <w:noProof/>
            <w:webHidden/>
            <w:rtl/>
          </w:rPr>
          <w:instrText xml:space="preserve"> </w:instrText>
        </w:r>
        <w:r w:rsidR="00372094">
          <w:rPr>
            <w:noProof/>
            <w:webHidden/>
            <w:rtl/>
          </w:rPr>
        </w:r>
        <w:r w:rsidR="00372094">
          <w:rPr>
            <w:noProof/>
            <w:webHidden/>
            <w:rtl/>
          </w:rPr>
          <w:fldChar w:fldCharType="separate"/>
        </w:r>
        <w:r w:rsidR="00A336F8">
          <w:rPr>
            <w:noProof/>
            <w:webHidden/>
            <w:rtl/>
          </w:rPr>
          <w:t>2</w:t>
        </w:r>
        <w:r w:rsidR="00372094">
          <w:rPr>
            <w:noProof/>
            <w:webHidden/>
            <w:rtl/>
          </w:rPr>
          <w:fldChar w:fldCharType="end"/>
        </w:r>
      </w:hyperlink>
    </w:p>
    <w:p w14:paraId="60DC191A" w14:textId="60B1B78F" w:rsidR="00C91EB6" w:rsidRPr="00C91EB6" w:rsidRDefault="00A01522" w:rsidP="00C91EB6">
      <w:r>
        <w:rPr>
          <w:rFonts w:cs="B Titr"/>
          <w:noProof/>
          <w:webHidden/>
          <w:color w:val="632423" w:themeColor="accent2" w:themeShade="80"/>
          <w:szCs w:val="24"/>
          <w:rtl/>
        </w:rPr>
        <w:fldChar w:fldCharType="end"/>
      </w:r>
    </w:p>
    <w:p w14:paraId="76BBEC2F"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02F0D">
        <w:rPr>
          <w:rtl/>
        </w:rPr>
        <w:t>ولا</w:t>
      </w:r>
      <w:r w:rsidR="00F02F0D">
        <w:rPr>
          <w:rFonts w:hint="cs"/>
          <w:rtl/>
        </w:rPr>
        <w:t>ی</w:t>
      </w:r>
      <w:r w:rsidR="00F02F0D">
        <w:rPr>
          <w:rFonts w:hint="eastAsia"/>
          <w:rtl/>
        </w:rPr>
        <w:t>ت</w:t>
      </w:r>
      <w:r w:rsidR="00F02F0D">
        <w:rPr>
          <w:rtl/>
        </w:rPr>
        <w:t xml:space="preserve"> تع</w:t>
      </w:r>
      <w:r w:rsidR="00F02F0D">
        <w:rPr>
          <w:rFonts w:hint="cs"/>
          <w:rtl/>
        </w:rPr>
        <w:t>یی</w:t>
      </w:r>
      <w:r w:rsidR="00F02F0D">
        <w:rPr>
          <w:rFonts w:hint="eastAsia"/>
          <w:rtl/>
        </w:rPr>
        <w:t>ن</w:t>
      </w:r>
      <w:r w:rsidR="00F02F0D">
        <w:rPr>
          <w:rtl/>
        </w:rPr>
        <w:t xml:space="preserve"> قاض</w:t>
      </w:r>
      <w:r w:rsidR="00F02F0D">
        <w:rPr>
          <w:rFonts w:hint="cs"/>
          <w:rtl/>
        </w:rPr>
        <w:t>ی</w:t>
      </w:r>
      <w:r w:rsidR="00025B70">
        <w:rPr>
          <w:rFonts w:hint="cs"/>
          <w:rtl/>
        </w:rPr>
        <w:t xml:space="preserve"> </w:t>
      </w:r>
      <w:r w:rsidR="00386C11" w:rsidRPr="00A6366F">
        <w:rPr>
          <w:rFonts w:hint="cs"/>
          <w:rtl/>
        </w:rPr>
        <w:t>/</w:t>
      </w:r>
      <w:bookmarkStart w:id="1" w:name="BokSabj_d"/>
      <w:bookmarkEnd w:id="1"/>
      <w:r w:rsidR="00F02F0D">
        <w:rPr>
          <w:rtl/>
        </w:rPr>
        <w:t>القضا</w:t>
      </w:r>
      <w:r w:rsidR="00386C11" w:rsidRPr="00A6366F">
        <w:rPr>
          <w:rFonts w:hint="cs"/>
          <w:rtl/>
        </w:rPr>
        <w:t xml:space="preserve"> /</w:t>
      </w:r>
      <w:bookmarkStart w:id="2" w:name="Bokkolli"/>
      <w:bookmarkEnd w:id="2"/>
      <w:r w:rsidR="00F02F0D">
        <w:rPr>
          <w:rtl/>
        </w:rPr>
        <w:t>کتاب القضا</w:t>
      </w:r>
      <w:r w:rsidR="001B6799" w:rsidRPr="00A6366F">
        <w:rPr>
          <w:rFonts w:hint="cs"/>
          <w:rtl/>
        </w:rPr>
        <w:t xml:space="preserve"> </w:t>
      </w:r>
    </w:p>
    <w:p w14:paraId="2260BCF0"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72EF8A6F" w14:textId="6A1409B1" w:rsidR="005C343C" w:rsidRPr="0019502C" w:rsidRDefault="005C343C" w:rsidP="005C343C">
      <w:pPr>
        <w:jc w:val="both"/>
        <w:rPr>
          <w:sz w:val="28"/>
          <w:rtl/>
        </w:rPr>
      </w:pPr>
      <w:r w:rsidRPr="0019502C">
        <w:rPr>
          <w:rFonts w:hint="cs"/>
          <w:sz w:val="28"/>
          <w:rtl/>
        </w:rPr>
        <w:t xml:space="preserve">بحث ما در مسأله ولایت بر تعیین قاضی بود. این مسأله در جایی که شبهه حکمیه باشد، بسیار مهم است. اگر تعیین قاضی به عهده هر کدام از طرفین باشد </w:t>
      </w:r>
      <w:r w:rsidR="006A58D4">
        <w:rPr>
          <w:rFonts w:hint="cs"/>
          <w:sz w:val="28"/>
          <w:rtl/>
        </w:rPr>
        <w:t xml:space="preserve">حکم به نفع </w:t>
      </w:r>
      <w:r w:rsidRPr="0019502C">
        <w:rPr>
          <w:rFonts w:hint="cs"/>
          <w:sz w:val="28"/>
          <w:rtl/>
        </w:rPr>
        <w:t xml:space="preserve">او </w:t>
      </w:r>
      <w:r w:rsidR="006A58D4">
        <w:rPr>
          <w:rFonts w:hint="cs"/>
          <w:sz w:val="28"/>
          <w:rtl/>
        </w:rPr>
        <w:t>(</w:t>
      </w:r>
      <w:r w:rsidRPr="0019502C">
        <w:rPr>
          <w:rFonts w:hint="cs"/>
          <w:sz w:val="28"/>
          <w:rtl/>
        </w:rPr>
        <w:t>محکوم له</w:t>
      </w:r>
      <w:r w:rsidR="006A58D4">
        <w:rPr>
          <w:rFonts w:hint="cs"/>
          <w:sz w:val="28"/>
          <w:rtl/>
        </w:rPr>
        <w:t>)</w:t>
      </w:r>
      <w:r w:rsidRPr="0019502C">
        <w:rPr>
          <w:rFonts w:hint="cs"/>
          <w:sz w:val="28"/>
          <w:rtl/>
        </w:rPr>
        <w:t xml:space="preserve"> می شود. مثلا زن و فرزندان میت در ارث از عقار اختلاف دارند و زن مقلد مرجعی است که قائل به ارث از عقار است و فرزندان میت مقلد کسی هستند که قائل به ارث از عقار نیست. حال اگر اختیار انتخاب قاضی با زن باشد می تواند قاضی ای را انتخاب کند که قائل به ارث از عقار است و در این صورت به نفع او حکم می شود.</w:t>
      </w:r>
    </w:p>
    <w:p w14:paraId="6A9EBBAF" w14:textId="77777777" w:rsidR="005C343C" w:rsidRPr="0019502C" w:rsidRDefault="005C343C" w:rsidP="005C343C">
      <w:pPr>
        <w:pStyle w:val="Heading1"/>
        <w:rPr>
          <w:rtl/>
        </w:rPr>
      </w:pPr>
      <w:bookmarkStart w:id="3" w:name="_Toc31528520"/>
      <w:r w:rsidRPr="0019502C">
        <w:rPr>
          <w:rFonts w:hint="cs"/>
          <w:rtl/>
        </w:rPr>
        <w:t>کلام سید یزدی در ولایت بر تعیین قاضی</w:t>
      </w:r>
      <w:bookmarkEnd w:id="3"/>
    </w:p>
    <w:p w14:paraId="6693100C" w14:textId="0144422A" w:rsidR="005C343C" w:rsidRPr="0019502C" w:rsidRDefault="005C343C" w:rsidP="006A58D4">
      <w:pPr>
        <w:jc w:val="both"/>
        <w:rPr>
          <w:sz w:val="28"/>
          <w:rtl/>
        </w:rPr>
      </w:pPr>
      <w:r w:rsidRPr="0019502C">
        <w:rPr>
          <w:rFonts w:hint="cs"/>
          <w:sz w:val="28"/>
          <w:rtl/>
        </w:rPr>
        <w:t xml:space="preserve">مرحوم سید در عروه این بحث را مطرح کرده است. ایشان </w:t>
      </w:r>
      <w:r w:rsidR="006A58D4">
        <w:rPr>
          <w:rFonts w:hint="cs"/>
          <w:sz w:val="28"/>
          <w:rtl/>
        </w:rPr>
        <w:t>تفصیل</w:t>
      </w:r>
      <w:r w:rsidRPr="0019502C">
        <w:rPr>
          <w:rFonts w:hint="cs"/>
          <w:sz w:val="28"/>
          <w:rtl/>
        </w:rPr>
        <w:t xml:space="preserve"> داده و فرموده است که ولایت تعیین قاضی به دست مدعی است مگر اینکه مدعی علیه قاضی ای را تعیین کند که اعلم از قاضی تعیین شده توسط مدعی باشد. ایشان فرموده است</w:t>
      </w:r>
      <w:r w:rsidR="0029261B">
        <w:rPr>
          <w:rFonts w:hint="cs"/>
          <w:sz w:val="28"/>
          <w:rtl/>
        </w:rPr>
        <w:t>:</w:t>
      </w:r>
      <w:r w:rsidRPr="0019502C">
        <w:rPr>
          <w:rFonts w:hint="cs"/>
          <w:sz w:val="28"/>
          <w:rtl/>
        </w:rPr>
        <w:t xml:space="preserve"> «</w:t>
      </w:r>
      <w:r w:rsidRPr="005C343C">
        <w:rPr>
          <w:rFonts w:ascii="Tahoma" w:hAnsi="Tahoma"/>
          <w:color w:val="000080"/>
          <w:sz w:val="28"/>
          <w:shd w:val="clear" w:color="auto" w:fill="FFFFFF"/>
          <w:rtl/>
        </w:rPr>
        <w:t>في المرافعات اختيار تعيين الحاكم بيد المدّعى إلّا إذا كان مختار المدّعى عليه أعلم بل مع وجود الأعلم و إمكان الترافع‌ إليه الأحوط الرجوع إليه مطلقاً</w:t>
      </w:r>
      <w:r w:rsidRPr="0019502C">
        <w:rPr>
          <w:rFonts w:hint="cs"/>
          <w:sz w:val="28"/>
          <w:rtl/>
        </w:rPr>
        <w:t>»</w:t>
      </w:r>
      <w:r>
        <w:rPr>
          <w:rStyle w:val="FootnoteReference"/>
          <w:sz w:val="28"/>
          <w:rtl/>
        </w:rPr>
        <w:footnoteReference w:id="1"/>
      </w:r>
      <w:r w:rsidRPr="0019502C">
        <w:rPr>
          <w:rFonts w:hint="cs"/>
          <w:sz w:val="28"/>
          <w:rtl/>
        </w:rPr>
        <w:t xml:space="preserve"> </w:t>
      </w:r>
    </w:p>
    <w:p w14:paraId="32DB96A5" w14:textId="77777777" w:rsidR="005C343C" w:rsidRPr="0019502C" w:rsidRDefault="005C343C" w:rsidP="005C343C">
      <w:pPr>
        <w:pStyle w:val="Heading2"/>
        <w:rPr>
          <w:rtl/>
        </w:rPr>
      </w:pPr>
      <w:bookmarkStart w:id="4" w:name="_Toc31528521"/>
      <w:r w:rsidRPr="0019502C">
        <w:rPr>
          <w:rFonts w:hint="cs"/>
          <w:rtl/>
        </w:rPr>
        <w:t>اشکال آقا ضیاء به سید یزدی</w:t>
      </w:r>
      <w:bookmarkEnd w:id="4"/>
    </w:p>
    <w:p w14:paraId="2D2EFC34" w14:textId="2FD43B97" w:rsidR="005C343C" w:rsidRPr="0019502C" w:rsidRDefault="005C343C" w:rsidP="00265B6D">
      <w:pPr>
        <w:jc w:val="both"/>
        <w:rPr>
          <w:sz w:val="28"/>
          <w:rtl/>
        </w:rPr>
      </w:pPr>
      <w:r w:rsidRPr="0019502C">
        <w:rPr>
          <w:rFonts w:hint="cs"/>
          <w:sz w:val="28"/>
          <w:rtl/>
        </w:rPr>
        <w:t>ایشان</w:t>
      </w:r>
      <w:r>
        <w:rPr>
          <w:rStyle w:val="FootnoteReference"/>
          <w:sz w:val="28"/>
          <w:rtl/>
        </w:rPr>
        <w:footnoteReference w:id="2"/>
      </w:r>
      <w:r w:rsidRPr="0019502C">
        <w:rPr>
          <w:rFonts w:hint="cs"/>
          <w:sz w:val="28"/>
          <w:rtl/>
        </w:rPr>
        <w:t xml:space="preserve"> به مرحوم سید اشکال کرده است که </w:t>
      </w:r>
      <w:r w:rsidR="003D5A2C">
        <w:rPr>
          <w:rFonts w:hint="cs"/>
          <w:sz w:val="28"/>
          <w:rtl/>
        </w:rPr>
        <w:t xml:space="preserve">کلام شما که </w:t>
      </w:r>
      <w:r w:rsidRPr="0019502C">
        <w:rPr>
          <w:rFonts w:hint="cs"/>
          <w:sz w:val="28"/>
          <w:rtl/>
        </w:rPr>
        <w:t>فرمودید در صورت اعلم بودن قاضی تعیین شده توسط مدعی علیه باید به او رجوع شود، دلیلی ندارد و صحیح نیست</w:t>
      </w:r>
      <w:r w:rsidR="00265B6D">
        <w:rPr>
          <w:rFonts w:hint="cs"/>
          <w:sz w:val="28"/>
          <w:rtl/>
        </w:rPr>
        <w:t>؛</w:t>
      </w:r>
      <w:r w:rsidRPr="0019502C">
        <w:rPr>
          <w:rFonts w:hint="cs"/>
          <w:sz w:val="28"/>
          <w:rtl/>
        </w:rPr>
        <w:t xml:space="preserve"> </w:t>
      </w:r>
      <w:r w:rsidR="00265B6D">
        <w:rPr>
          <w:rFonts w:hint="cs"/>
          <w:sz w:val="28"/>
          <w:rtl/>
        </w:rPr>
        <w:t>زیرا</w:t>
      </w:r>
      <w:r w:rsidRPr="0019502C">
        <w:rPr>
          <w:rFonts w:hint="cs"/>
          <w:sz w:val="28"/>
          <w:rtl/>
        </w:rPr>
        <w:t xml:space="preserve"> اطلاق مقبوله، شرط اعلمیت را نفی می کند. در مقبوله آمده است</w:t>
      </w:r>
      <w:r w:rsidR="00265B6D">
        <w:rPr>
          <w:rFonts w:hint="cs"/>
          <w:sz w:val="28"/>
          <w:rtl/>
        </w:rPr>
        <w:t>:</w:t>
      </w:r>
      <w:r w:rsidRPr="0019502C">
        <w:rPr>
          <w:rFonts w:hint="cs"/>
          <w:sz w:val="28"/>
          <w:rtl/>
        </w:rPr>
        <w:t xml:space="preserve"> «</w:t>
      </w:r>
      <w:r w:rsidRPr="005C343C">
        <w:rPr>
          <w:rFonts w:ascii="Traditional Arabic" w:hAnsi="Traditional Arabic" w:hint="cs"/>
          <w:color w:val="008000"/>
          <w:sz w:val="28"/>
          <w:rtl/>
        </w:rPr>
        <w:t xml:space="preserve">يَنْظُرَانِ </w:t>
      </w:r>
      <w:r w:rsidRPr="005C343C">
        <w:rPr>
          <w:rFonts w:ascii="Traditional Arabic" w:hAnsi="Traditional Arabic" w:hint="cs"/>
          <w:color w:val="008000"/>
          <w:sz w:val="28"/>
          <w:rtl/>
        </w:rPr>
        <w:lastRenderedPageBreak/>
        <w:t>إِلَى مَنْ كَانَ مِنْكُمْ مِمَّنْ قَدْ رَوَى حَدِيثَنَا وَ نَظَرَ فِي حَلَالِنَا وَ حَرَامِنَا وَ عَرَفَ أَحْكَامَنَا فَلْيَرْضَوْا بِهِ حَكَماً فَإِنِّي قَدْ جَعَلْتُهُ عَلَيْكُمْ حَاكِماً</w:t>
      </w:r>
      <w:r w:rsidRPr="0019502C">
        <w:rPr>
          <w:rFonts w:hint="cs"/>
          <w:sz w:val="28"/>
          <w:rtl/>
        </w:rPr>
        <w:t>»</w:t>
      </w:r>
      <w:r>
        <w:rPr>
          <w:rStyle w:val="FootnoteReference"/>
          <w:sz w:val="28"/>
          <w:rtl/>
        </w:rPr>
        <w:footnoteReference w:id="3"/>
      </w:r>
      <w:r w:rsidRPr="0019502C">
        <w:rPr>
          <w:rFonts w:hint="cs"/>
          <w:sz w:val="28"/>
          <w:rtl/>
        </w:rPr>
        <w:t xml:space="preserve"> اگر اعلمیت شرط بود حضرت می فرمودند که شما حق رجوع به </w:t>
      </w:r>
      <w:r w:rsidR="00265B6D">
        <w:rPr>
          <w:rFonts w:hint="cs"/>
          <w:sz w:val="28"/>
          <w:rtl/>
        </w:rPr>
        <w:t xml:space="preserve">غیر </w:t>
      </w:r>
      <w:r w:rsidRPr="0019502C">
        <w:rPr>
          <w:rFonts w:hint="cs"/>
          <w:sz w:val="28"/>
          <w:rtl/>
        </w:rPr>
        <w:t>اعلم را نداشتید. بله بعد از فرض تعارض دو قاضی</w:t>
      </w:r>
      <w:r w:rsidR="00265B6D">
        <w:rPr>
          <w:rFonts w:hint="cs"/>
          <w:sz w:val="28"/>
          <w:rtl/>
        </w:rPr>
        <w:t>،</w:t>
      </w:r>
      <w:r w:rsidRPr="0019502C">
        <w:rPr>
          <w:rFonts w:hint="cs"/>
          <w:sz w:val="28"/>
          <w:rtl/>
        </w:rPr>
        <w:t xml:space="preserve"> حضرت فرمودند که سراغ اعلم بروید.</w:t>
      </w:r>
    </w:p>
    <w:p w14:paraId="7E8E1C92" w14:textId="77777777" w:rsidR="005C343C" w:rsidRPr="0019502C" w:rsidRDefault="005C343C" w:rsidP="005C343C">
      <w:pPr>
        <w:pStyle w:val="Heading1"/>
        <w:rPr>
          <w:rtl/>
        </w:rPr>
      </w:pPr>
      <w:bookmarkStart w:id="5" w:name="_Toc31528522"/>
      <w:r w:rsidRPr="0019502C">
        <w:rPr>
          <w:rFonts w:hint="cs"/>
          <w:rtl/>
        </w:rPr>
        <w:t>نظر مشهور در ولایت بر تعیین قاضی</w:t>
      </w:r>
      <w:bookmarkEnd w:id="5"/>
    </w:p>
    <w:p w14:paraId="2CEB0A65" w14:textId="77777777" w:rsidR="005C343C" w:rsidRPr="0019502C" w:rsidRDefault="005C343C" w:rsidP="005C343C">
      <w:pPr>
        <w:jc w:val="both"/>
        <w:rPr>
          <w:sz w:val="28"/>
          <w:rtl/>
        </w:rPr>
      </w:pPr>
      <w:r w:rsidRPr="0019502C">
        <w:rPr>
          <w:rFonts w:hint="cs"/>
          <w:sz w:val="28"/>
          <w:rtl/>
        </w:rPr>
        <w:t xml:space="preserve">نظر مشهور بین فقها این است که ولایت تعیین قاضی به عهده مدعی است. مرحوم نراقی در این مسأله ادعای اجماع کرده است. </w:t>
      </w:r>
    </w:p>
    <w:p w14:paraId="4FFA9A2F" w14:textId="70E08E86" w:rsidR="005C343C" w:rsidRPr="0019502C" w:rsidRDefault="00265B6D" w:rsidP="00265B6D">
      <w:pPr>
        <w:pStyle w:val="Heading2"/>
        <w:rPr>
          <w:rtl/>
        </w:rPr>
      </w:pPr>
      <w:bookmarkStart w:id="6" w:name="_Toc31528523"/>
      <w:r>
        <w:rPr>
          <w:rFonts w:hint="cs"/>
          <w:rtl/>
        </w:rPr>
        <w:t>دلیل</w:t>
      </w:r>
      <w:r w:rsidR="005C343C" w:rsidRPr="0019502C">
        <w:rPr>
          <w:rFonts w:hint="cs"/>
          <w:rtl/>
        </w:rPr>
        <w:t xml:space="preserve"> قول مشهور</w:t>
      </w:r>
      <w:bookmarkEnd w:id="6"/>
    </w:p>
    <w:p w14:paraId="5BF9E094" w14:textId="77777777" w:rsidR="005C343C" w:rsidRPr="0019502C" w:rsidRDefault="005C343C" w:rsidP="005C343C">
      <w:pPr>
        <w:jc w:val="both"/>
        <w:rPr>
          <w:sz w:val="28"/>
          <w:rtl/>
        </w:rPr>
      </w:pPr>
      <w:r w:rsidRPr="0019502C">
        <w:rPr>
          <w:rFonts w:hint="cs"/>
          <w:sz w:val="28"/>
          <w:rtl/>
        </w:rPr>
        <w:t>برای نظر مشهور چند وجه می توان بیان کرد:</w:t>
      </w:r>
    </w:p>
    <w:p w14:paraId="1C297000" w14:textId="761701C0" w:rsidR="005C343C" w:rsidRPr="0019502C" w:rsidRDefault="005C343C" w:rsidP="00F32651">
      <w:pPr>
        <w:pStyle w:val="ListParagraph"/>
        <w:numPr>
          <w:ilvl w:val="0"/>
          <w:numId w:val="16"/>
        </w:numPr>
        <w:spacing w:after="200"/>
        <w:jc w:val="both"/>
        <w:rPr>
          <w:rFonts w:cs="B Badr"/>
          <w:sz w:val="28"/>
        </w:rPr>
      </w:pPr>
      <w:r w:rsidRPr="0019502C">
        <w:rPr>
          <w:rFonts w:cs="B Badr" w:hint="cs"/>
          <w:sz w:val="28"/>
          <w:rtl/>
        </w:rPr>
        <w:t xml:space="preserve">اجماع: اولین دلیلی که می توان اقامه کرد، اجماع </w:t>
      </w:r>
      <w:r w:rsidR="00265B6D">
        <w:rPr>
          <w:rFonts w:cs="B Badr" w:hint="cs"/>
          <w:sz w:val="28"/>
          <w:rtl/>
        </w:rPr>
        <w:t>ادعا شده</w:t>
      </w:r>
      <w:r w:rsidRPr="0019502C">
        <w:rPr>
          <w:rFonts w:cs="B Badr" w:hint="cs"/>
          <w:sz w:val="28"/>
          <w:rtl/>
        </w:rPr>
        <w:t xml:space="preserve"> در کلام مرحوم نراقی است. </w:t>
      </w:r>
      <w:r w:rsidR="00F32651">
        <w:rPr>
          <w:rFonts w:cs="B Badr" w:hint="cs"/>
          <w:sz w:val="28"/>
          <w:rtl/>
        </w:rPr>
        <w:t>البته</w:t>
      </w:r>
      <w:r w:rsidR="00F32651" w:rsidRPr="0019502C">
        <w:rPr>
          <w:rFonts w:cs="B Badr" w:hint="cs"/>
          <w:sz w:val="28"/>
          <w:rtl/>
        </w:rPr>
        <w:t xml:space="preserve"> </w:t>
      </w:r>
      <w:r w:rsidRPr="0019502C">
        <w:rPr>
          <w:rFonts w:cs="B Badr" w:hint="cs"/>
          <w:sz w:val="28"/>
          <w:rtl/>
        </w:rPr>
        <w:t xml:space="preserve">با توجه به اینکه به وجوه مختلفی در مسأله، استدلال شده است، اجماع نمی تواند </w:t>
      </w:r>
      <w:r w:rsidR="00F32651">
        <w:rPr>
          <w:rFonts w:cs="B Badr" w:hint="cs"/>
          <w:sz w:val="28"/>
          <w:rtl/>
        </w:rPr>
        <w:t>تعبدی</w:t>
      </w:r>
      <w:r w:rsidRPr="0019502C">
        <w:rPr>
          <w:rFonts w:cs="B Badr" w:hint="cs"/>
          <w:sz w:val="28"/>
          <w:rtl/>
        </w:rPr>
        <w:t xml:space="preserve"> باشد. </w:t>
      </w:r>
      <w:r w:rsidR="00F32651">
        <w:rPr>
          <w:rFonts w:cs="B Badr" w:hint="cs"/>
          <w:sz w:val="28"/>
          <w:rtl/>
        </w:rPr>
        <w:t xml:space="preserve">اما </w:t>
      </w:r>
      <w:r w:rsidRPr="0019502C">
        <w:rPr>
          <w:rFonts w:cs="B Badr" w:hint="cs"/>
          <w:sz w:val="28"/>
          <w:rtl/>
        </w:rPr>
        <w:t>در مسأله شهرت محققه وجود دارد.</w:t>
      </w:r>
    </w:p>
    <w:p w14:paraId="7CBA687E" w14:textId="564C5B9B" w:rsidR="005C343C" w:rsidRPr="0019502C" w:rsidRDefault="005C343C" w:rsidP="005C343C">
      <w:pPr>
        <w:pStyle w:val="ListParagraph"/>
        <w:numPr>
          <w:ilvl w:val="0"/>
          <w:numId w:val="16"/>
        </w:numPr>
        <w:spacing w:after="200"/>
        <w:jc w:val="both"/>
        <w:rPr>
          <w:rFonts w:cs="B Badr"/>
          <w:sz w:val="28"/>
        </w:rPr>
      </w:pPr>
      <w:r w:rsidRPr="0019502C">
        <w:rPr>
          <w:rFonts w:cs="B Badr" w:hint="cs"/>
          <w:sz w:val="28"/>
          <w:rtl/>
        </w:rPr>
        <w:t>ولایت تعیین قاض</w:t>
      </w:r>
      <w:r w:rsidR="00964A48">
        <w:rPr>
          <w:rFonts w:cs="B Badr" w:hint="cs"/>
          <w:sz w:val="28"/>
          <w:rtl/>
        </w:rPr>
        <w:t xml:space="preserve">ی به دست مدعی است به دلیل اینکه </w:t>
      </w:r>
      <w:r w:rsidRPr="0019502C">
        <w:rPr>
          <w:rFonts w:cs="B Badr" w:hint="cs"/>
          <w:sz w:val="28"/>
          <w:rtl/>
        </w:rPr>
        <w:t>حق، حق مدعی است. اگر بناست که حق مال او باشد پس ولایت تعیین قاضی با او است.</w:t>
      </w:r>
      <w:r w:rsidR="00964A48">
        <w:rPr>
          <w:rFonts w:cs="B Badr" w:hint="cs"/>
          <w:sz w:val="28"/>
          <w:rtl/>
        </w:rPr>
        <w:t xml:space="preserve"> </w:t>
      </w:r>
      <w:r w:rsidRPr="0019502C">
        <w:rPr>
          <w:rFonts w:cs="B Badr" w:hint="cs"/>
          <w:sz w:val="28"/>
          <w:rtl/>
        </w:rPr>
        <w:t>مرحوم خویی فرموده است «</w:t>
      </w:r>
      <w:r w:rsidRPr="002F7ACB">
        <w:rPr>
          <w:rFonts w:ascii="Noor_Lotus" w:hAnsi="Noor_Lotus" w:cs="B Badr" w:hint="cs"/>
          <w:color w:val="000080"/>
          <w:sz w:val="28"/>
          <w:rtl/>
        </w:rPr>
        <w:t>المدعى هو المطالب بالحق و لا حق لغيره</w:t>
      </w:r>
      <w:r w:rsidRPr="0019502C">
        <w:rPr>
          <w:rFonts w:cs="B Badr" w:hint="cs"/>
          <w:sz w:val="28"/>
          <w:rtl/>
        </w:rPr>
        <w:t>»</w:t>
      </w:r>
      <w:r w:rsidR="002F7ACB">
        <w:rPr>
          <w:rStyle w:val="FootnoteReference"/>
          <w:rFonts w:cs="B Badr"/>
          <w:sz w:val="28"/>
          <w:rtl/>
        </w:rPr>
        <w:footnoteReference w:id="4"/>
      </w:r>
      <w:r w:rsidRPr="0019502C">
        <w:rPr>
          <w:rFonts w:cs="B Badr" w:hint="cs"/>
          <w:sz w:val="28"/>
          <w:rtl/>
        </w:rPr>
        <w:t xml:space="preserve"> </w:t>
      </w:r>
    </w:p>
    <w:p w14:paraId="1647A855" w14:textId="571859A2" w:rsidR="005C343C" w:rsidRPr="0019502C" w:rsidRDefault="005C343C" w:rsidP="00964A48">
      <w:pPr>
        <w:pStyle w:val="ListParagraph"/>
        <w:jc w:val="both"/>
        <w:rPr>
          <w:rFonts w:cs="B Badr"/>
          <w:sz w:val="28"/>
          <w:rtl/>
        </w:rPr>
      </w:pPr>
      <w:r w:rsidRPr="0019502C">
        <w:rPr>
          <w:rFonts w:cs="B Badr" w:hint="cs"/>
          <w:sz w:val="28"/>
          <w:rtl/>
        </w:rPr>
        <w:t xml:space="preserve">به این تقریب اشکالی در کلمات فقها مانند مرحوم حکیم و خویی </w:t>
      </w:r>
      <w:r w:rsidR="00964A48">
        <w:rPr>
          <w:rFonts w:cs="B Badr" w:hint="cs"/>
          <w:sz w:val="28"/>
          <w:rtl/>
        </w:rPr>
        <w:t>مطرح شده</w:t>
      </w:r>
      <w:r w:rsidRPr="0019502C">
        <w:rPr>
          <w:rFonts w:cs="B Badr" w:hint="cs"/>
          <w:sz w:val="28"/>
          <w:rtl/>
        </w:rPr>
        <w:t xml:space="preserve"> به این</w:t>
      </w:r>
      <w:r w:rsidR="00964A48">
        <w:rPr>
          <w:rFonts w:cs="B Badr" w:hint="cs"/>
          <w:sz w:val="28"/>
          <w:rtl/>
        </w:rPr>
        <w:t xml:space="preserve"> بیان </w:t>
      </w:r>
      <w:r w:rsidRPr="0019502C">
        <w:rPr>
          <w:rFonts w:cs="B Badr" w:hint="cs"/>
          <w:sz w:val="28"/>
          <w:rtl/>
        </w:rPr>
        <w:t xml:space="preserve">که هنوز حقی برای مدعی ثابت نشده است تا بگوییم او صاحب حق است و در نتیجه </w:t>
      </w:r>
      <w:r w:rsidR="00964A48">
        <w:rPr>
          <w:rFonts w:cs="B Badr" w:hint="cs"/>
          <w:sz w:val="28"/>
          <w:rtl/>
        </w:rPr>
        <w:t>تعیین قاضی با او باشد؛</w:t>
      </w:r>
      <w:r w:rsidRPr="0019502C">
        <w:rPr>
          <w:rFonts w:cs="B Badr" w:hint="cs"/>
          <w:sz w:val="28"/>
          <w:rtl/>
        </w:rPr>
        <w:t xml:space="preserve"> شاید حق با مدعی علیه باشد. از این اشکال پاسخ داده شده است به اینکه مراد از حق، حق اقامه دعوی است</w:t>
      </w:r>
      <w:r w:rsidR="00964A48">
        <w:rPr>
          <w:rFonts w:cs="B Badr" w:hint="cs"/>
          <w:sz w:val="28"/>
          <w:rtl/>
        </w:rPr>
        <w:t>،</w:t>
      </w:r>
      <w:r w:rsidRPr="0019502C">
        <w:rPr>
          <w:rFonts w:cs="B Badr" w:hint="cs"/>
          <w:sz w:val="28"/>
          <w:rtl/>
        </w:rPr>
        <w:t xml:space="preserve"> نه حق به معنای حق ادعا شده. </w:t>
      </w:r>
    </w:p>
    <w:p w14:paraId="3C0F5C04" w14:textId="2E54DFCB" w:rsidR="001A1EA5" w:rsidRPr="0041598E" w:rsidRDefault="005C343C" w:rsidP="0041598E">
      <w:pPr>
        <w:pStyle w:val="ListParagraph"/>
        <w:jc w:val="both"/>
        <w:rPr>
          <w:rFonts w:asciiTheme="minorHAnsi" w:hAnsiTheme="minorHAnsi" w:cs="B Badr"/>
          <w:sz w:val="28"/>
          <w:rtl/>
        </w:rPr>
      </w:pPr>
      <w:r w:rsidRPr="0019502C">
        <w:rPr>
          <w:rFonts w:cs="B Badr" w:hint="cs"/>
          <w:sz w:val="28"/>
          <w:rtl/>
        </w:rPr>
        <w:t xml:space="preserve">به این </w:t>
      </w:r>
      <w:r w:rsidR="00964A48">
        <w:rPr>
          <w:rFonts w:cs="B Badr" w:hint="cs"/>
          <w:sz w:val="28"/>
          <w:rtl/>
        </w:rPr>
        <w:t>پاسخ</w:t>
      </w:r>
      <w:r w:rsidRPr="0019502C">
        <w:rPr>
          <w:rFonts w:cs="B Badr" w:hint="cs"/>
          <w:sz w:val="28"/>
          <w:rtl/>
        </w:rPr>
        <w:t xml:space="preserve"> </w:t>
      </w:r>
      <w:r w:rsidR="00964A48">
        <w:rPr>
          <w:rFonts w:cs="B Badr" w:hint="cs"/>
          <w:sz w:val="28"/>
          <w:rtl/>
        </w:rPr>
        <w:t>(</w:t>
      </w:r>
      <w:r w:rsidRPr="0019502C">
        <w:rPr>
          <w:rFonts w:cs="B Badr" w:hint="cs"/>
          <w:sz w:val="28"/>
          <w:rtl/>
        </w:rPr>
        <w:t xml:space="preserve">مراد از حق، حق اقامه دعوی </w:t>
      </w:r>
      <w:r w:rsidR="00964A48">
        <w:rPr>
          <w:rFonts w:cs="B Badr" w:hint="cs"/>
          <w:sz w:val="28"/>
          <w:rtl/>
        </w:rPr>
        <w:t>است)</w:t>
      </w:r>
      <w:r w:rsidRPr="0019502C">
        <w:rPr>
          <w:rFonts w:cs="B Badr" w:hint="cs"/>
          <w:sz w:val="28"/>
          <w:rtl/>
        </w:rPr>
        <w:t xml:space="preserve"> اشکال شده است که اگر مدعی حق اقامه دعوا دارد مدعی علیه نیز حق پاسخگویی دارد. علاوه بر حق پاسخگویی</w:t>
      </w:r>
      <w:r w:rsidR="00964A48">
        <w:rPr>
          <w:rFonts w:cs="B Badr" w:hint="cs"/>
          <w:sz w:val="28"/>
          <w:rtl/>
        </w:rPr>
        <w:t>،</w:t>
      </w:r>
      <w:r w:rsidRPr="0019502C">
        <w:rPr>
          <w:rFonts w:cs="B Badr" w:hint="cs"/>
          <w:sz w:val="28"/>
          <w:rtl/>
        </w:rPr>
        <w:t xml:space="preserve"> حق دیگری هم دارد </w:t>
      </w:r>
      <w:r w:rsidR="00964A48">
        <w:rPr>
          <w:rFonts w:cs="B Badr" w:hint="cs"/>
          <w:sz w:val="28"/>
          <w:rtl/>
        </w:rPr>
        <w:t>که</w:t>
      </w:r>
      <w:r w:rsidRPr="0019502C">
        <w:rPr>
          <w:rFonts w:cs="B Badr" w:hint="cs"/>
          <w:sz w:val="28"/>
          <w:rtl/>
        </w:rPr>
        <w:t xml:space="preserve"> حق دفاع است</w:t>
      </w:r>
      <w:r w:rsidR="00964A48">
        <w:rPr>
          <w:rFonts w:cs="B Badr" w:hint="cs"/>
          <w:sz w:val="28"/>
          <w:rtl/>
        </w:rPr>
        <w:t>؛</w:t>
      </w:r>
      <w:r w:rsidRPr="0019502C">
        <w:rPr>
          <w:rFonts w:cs="B Badr" w:hint="cs"/>
          <w:sz w:val="28"/>
          <w:rtl/>
        </w:rPr>
        <w:t xml:space="preserve"> یعنی وقتی می داند طرف م</w:t>
      </w:r>
      <w:r w:rsidR="00082240">
        <w:rPr>
          <w:rFonts w:cs="B Badr" w:hint="cs"/>
          <w:sz w:val="28"/>
          <w:rtl/>
        </w:rPr>
        <w:t>قابل می خواهد از او شکایت کند،</w:t>
      </w:r>
      <w:r w:rsidRPr="0019502C">
        <w:rPr>
          <w:rFonts w:cs="B Badr" w:hint="cs"/>
          <w:sz w:val="28"/>
          <w:rtl/>
        </w:rPr>
        <w:t xml:space="preserve"> می ت</w:t>
      </w:r>
      <w:r w:rsidR="00082240">
        <w:rPr>
          <w:rFonts w:cs="B Badr" w:hint="cs"/>
          <w:sz w:val="28"/>
          <w:rtl/>
        </w:rPr>
        <w:t>واند زودتر به دادگاه رجوع کرده و</w:t>
      </w:r>
      <w:r w:rsidRPr="0019502C">
        <w:rPr>
          <w:rFonts w:cs="B Badr" w:hint="cs"/>
          <w:sz w:val="28"/>
          <w:rtl/>
        </w:rPr>
        <w:t xml:space="preserve"> بگوید کسی قرار است بر علیه من شکایت کند و برای من مزاحمت درست کند و می خواهم جلوی این مزاحمت گرفته شود. در این صورت خود مدعی علیه، تبدیل به مدعی می شود</w:t>
      </w:r>
      <w:r w:rsidR="00082240">
        <w:rPr>
          <w:rFonts w:cs="B Badr" w:hint="cs"/>
          <w:sz w:val="28"/>
          <w:rtl/>
        </w:rPr>
        <w:t>.</w:t>
      </w:r>
      <w:r w:rsidRPr="0019502C">
        <w:rPr>
          <w:rFonts w:cs="B Badr" w:hint="cs"/>
          <w:sz w:val="28"/>
          <w:rtl/>
        </w:rPr>
        <w:t xml:space="preserve"> </w:t>
      </w:r>
      <w:r w:rsidR="00082240">
        <w:rPr>
          <w:rFonts w:cs="B Badr" w:hint="cs"/>
          <w:sz w:val="28"/>
          <w:rtl/>
        </w:rPr>
        <w:t>بنابراین اگر قائل شویم</w:t>
      </w:r>
      <w:r w:rsidRPr="0019502C">
        <w:rPr>
          <w:rFonts w:cs="B Badr" w:hint="cs"/>
          <w:sz w:val="28"/>
          <w:rtl/>
        </w:rPr>
        <w:t xml:space="preserve"> که تعیین قاضی به دست مدعی است</w:t>
      </w:r>
      <w:r w:rsidR="00082240">
        <w:rPr>
          <w:rFonts w:cs="B Badr" w:hint="cs"/>
          <w:sz w:val="28"/>
          <w:rtl/>
        </w:rPr>
        <w:t>،</w:t>
      </w:r>
      <w:r w:rsidRPr="0019502C">
        <w:rPr>
          <w:rFonts w:cs="B Badr" w:hint="cs"/>
          <w:sz w:val="28"/>
          <w:rtl/>
        </w:rPr>
        <w:t xml:space="preserve"> </w:t>
      </w:r>
      <w:r w:rsidR="00082240">
        <w:rPr>
          <w:rFonts w:cs="B Badr" w:hint="cs"/>
          <w:sz w:val="28"/>
          <w:rtl/>
        </w:rPr>
        <w:t>مدعی علیه</w:t>
      </w:r>
      <w:r w:rsidRPr="0019502C">
        <w:rPr>
          <w:rFonts w:cs="B Badr" w:hint="cs"/>
          <w:sz w:val="28"/>
          <w:rtl/>
        </w:rPr>
        <w:t xml:space="preserve"> نیز می تواند قاضی را تعیین کند.</w:t>
      </w:r>
      <w:bookmarkStart w:id="7" w:name="_GoBack"/>
      <w:bookmarkEnd w:id="7"/>
    </w:p>
    <w:sectPr w:rsidR="001A1EA5" w:rsidRPr="0041598E"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99F863" w14:textId="77777777" w:rsidR="003324B3" w:rsidRDefault="003324B3" w:rsidP="008B750B">
      <w:pPr>
        <w:spacing w:line="240" w:lineRule="auto"/>
      </w:pPr>
      <w:r>
        <w:separator/>
      </w:r>
    </w:p>
  </w:endnote>
  <w:endnote w:type="continuationSeparator" w:id="0">
    <w:p w14:paraId="2FFB8FDF" w14:textId="77777777" w:rsidR="003324B3" w:rsidRDefault="003324B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Noor_Lotus">
    <w:panose1 w:val="02000400000000000000"/>
    <w:charset w:val="00"/>
    <w:family w:val="auto"/>
    <w:pitch w:val="variable"/>
    <w:sig w:usb0="80002007" w:usb1="80002000" w:usb2="00000008" w:usb3="00000000" w:csb0="00000043"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18ACF"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4F05970F" w14:textId="77777777" w:rsidTr="0020241A">
      <w:tc>
        <w:tcPr>
          <w:tcW w:w="3382" w:type="dxa"/>
          <w:tcBorders>
            <w:top w:val="nil"/>
            <w:left w:val="nil"/>
            <w:bottom w:val="nil"/>
            <w:right w:val="nil"/>
          </w:tcBorders>
        </w:tcPr>
        <w:p w14:paraId="66E23D4E"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1056C469"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D749D" w:rsidRPr="002D749D">
            <w:rPr>
              <w:noProof/>
              <w:rtl/>
              <w:lang w:val="fa-IR"/>
            </w:rPr>
            <w:t>1</w:t>
          </w:r>
          <w:r>
            <w:rPr>
              <w:noProof/>
            </w:rPr>
            <w:fldChar w:fldCharType="end"/>
          </w:r>
        </w:p>
      </w:tc>
      <w:tc>
        <w:tcPr>
          <w:tcW w:w="4786" w:type="dxa"/>
          <w:tcBorders>
            <w:top w:val="nil"/>
            <w:left w:val="nil"/>
            <w:bottom w:val="nil"/>
            <w:right w:val="nil"/>
          </w:tcBorders>
          <w:vAlign w:val="center"/>
        </w:tcPr>
        <w:p w14:paraId="6BB9B946" w14:textId="77777777" w:rsidR="006D44C1" w:rsidRPr="006D44C1" w:rsidRDefault="00F02F0D" w:rsidP="001B6799">
          <w:pPr>
            <w:pStyle w:val="Footer"/>
            <w:bidi w:val="0"/>
            <w:rPr>
              <w:color w:val="808080" w:themeColor="background1" w:themeShade="80"/>
              <w:rtl/>
            </w:rPr>
          </w:pPr>
          <w:bookmarkStart w:id="15" w:name="BokAdres"/>
          <w:bookmarkEnd w:id="15"/>
          <w:r>
            <w:rPr>
              <w:color w:val="808080" w:themeColor="background1" w:themeShade="80"/>
            </w:rPr>
            <w:t>F1mq1_13981105-064_mk4_mfeb.ir</w:t>
          </w:r>
        </w:p>
      </w:tc>
    </w:tr>
  </w:tbl>
  <w:p w14:paraId="2480F231"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E0DC9"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9F0E20" w14:textId="77777777" w:rsidR="003324B3" w:rsidRDefault="003324B3" w:rsidP="008B750B">
      <w:pPr>
        <w:spacing w:line="240" w:lineRule="auto"/>
      </w:pPr>
      <w:r>
        <w:separator/>
      </w:r>
    </w:p>
  </w:footnote>
  <w:footnote w:type="continuationSeparator" w:id="0">
    <w:p w14:paraId="2D72019E" w14:textId="77777777" w:rsidR="003324B3" w:rsidRDefault="003324B3" w:rsidP="008B750B">
      <w:pPr>
        <w:spacing w:line="240" w:lineRule="auto"/>
      </w:pPr>
      <w:r>
        <w:continuationSeparator/>
      </w:r>
    </w:p>
  </w:footnote>
  <w:footnote w:id="1">
    <w:p w14:paraId="496CC3E2" w14:textId="1EBF574A" w:rsidR="005C343C" w:rsidRPr="005C343C" w:rsidRDefault="005C343C" w:rsidP="005C343C">
      <w:pPr>
        <w:pStyle w:val="FootnoteText"/>
        <w:rPr>
          <w:rtl/>
        </w:rPr>
      </w:pPr>
      <w:r w:rsidRPr="005C343C">
        <w:footnoteRef/>
      </w:r>
      <w:r w:rsidRPr="005C343C">
        <w:rPr>
          <w:rtl/>
        </w:rPr>
        <w:t xml:space="preserve"> </w:t>
      </w:r>
      <w:hyperlink r:id="rId1" w:history="1">
        <w:r w:rsidRPr="005C343C">
          <w:rPr>
            <w:rStyle w:val="Hyperlink"/>
            <w:rtl/>
          </w:rPr>
          <w:t>العروة الوثق</w:t>
        </w:r>
        <w:r w:rsidRPr="005C343C">
          <w:rPr>
            <w:rStyle w:val="Hyperlink"/>
            <w:rFonts w:hint="cs"/>
            <w:rtl/>
          </w:rPr>
          <w:t>ی</w:t>
        </w:r>
        <w:r w:rsidRPr="005C343C">
          <w:rPr>
            <w:rStyle w:val="Hyperlink"/>
            <w:rFonts w:hint="eastAsia"/>
            <w:rtl/>
          </w:rPr>
          <w:t>،</w:t>
        </w:r>
        <w:r w:rsidRPr="005C343C">
          <w:rPr>
            <w:rStyle w:val="Hyperlink"/>
            <w:rtl/>
          </w:rPr>
          <w:t xml:space="preserve"> الس</w:t>
        </w:r>
        <w:r w:rsidRPr="005C343C">
          <w:rPr>
            <w:rStyle w:val="Hyperlink"/>
            <w:rFonts w:hint="cs"/>
            <w:rtl/>
          </w:rPr>
          <w:t>ی</w:t>
        </w:r>
        <w:r w:rsidRPr="005C343C">
          <w:rPr>
            <w:rStyle w:val="Hyperlink"/>
            <w:rFonts w:hint="eastAsia"/>
            <w:rtl/>
          </w:rPr>
          <w:t>د</w:t>
        </w:r>
        <w:r w:rsidRPr="005C343C">
          <w:rPr>
            <w:rStyle w:val="Hyperlink"/>
            <w:rtl/>
          </w:rPr>
          <w:t xml:space="preserve"> محمد کاظم الطباطبائ</w:t>
        </w:r>
        <w:r w:rsidRPr="005C343C">
          <w:rPr>
            <w:rStyle w:val="Hyperlink"/>
            <w:rFonts w:hint="cs"/>
            <w:rtl/>
          </w:rPr>
          <w:t>ی</w:t>
        </w:r>
        <w:r w:rsidRPr="005C343C">
          <w:rPr>
            <w:rStyle w:val="Hyperlink"/>
            <w:rtl/>
          </w:rPr>
          <w:t xml:space="preserve"> ال</w:t>
        </w:r>
        <w:r w:rsidRPr="005C343C">
          <w:rPr>
            <w:rStyle w:val="Hyperlink"/>
            <w:rFonts w:hint="cs"/>
            <w:rtl/>
          </w:rPr>
          <w:t>ی</w:t>
        </w:r>
        <w:r w:rsidRPr="005C343C">
          <w:rPr>
            <w:rStyle w:val="Hyperlink"/>
            <w:rFonts w:hint="eastAsia"/>
            <w:rtl/>
          </w:rPr>
          <w:t>زد</w:t>
        </w:r>
        <w:r w:rsidRPr="005C343C">
          <w:rPr>
            <w:rStyle w:val="Hyperlink"/>
            <w:rFonts w:hint="cs"/>
            <w:rtl/>
          </w:rPr>
          <w:t>ی</w:t>
        </w:r>
        <w:r w:rsidRPr="005C343C">
          <w:rPr>
            <w:rStyle w:val="Hyperlink"/>
            <w:rFonts w:hint="eastAsia"/>
            <w:rtl/>
          </w:rPr>
          <w:t>،</w:t>
        </w:r>
        <w:r w:rsidRPr="005C343C">
          <w:rPr>
            <w:rStyle w:val="Hyperlink"/>
            <w:rtl/>
          </w:rPr>
          <w:t xml:space="preserve"> ج1، ص23.</w:t>
        </w:r>
      </w:hyperlink>
    </w:p>
  </w:footnote>
  <w:footnote w:id="2">
    <w:p w14:paraId="70618C3D" w14:textId="094EF649" w:rsidR="005C343C" w:rsidRPr="005C343C" w:rsidRDefault="005C343C" w:rsidP="005C343C">
      <w:pPr>
        <w:pStyle w:val="FootnoteText"/>
      </w:pPr>
      <w:r w:rsidRPr="005C343C">
        <w:footnoteRef/>
      </w:r>
      <w:r w:rsidRPr="005C343C">
        <w:rPr>
          <w:rtl/>
        </w:rPr>
        <w:t xml:space="preserve"> </w:t>
      </w:r>
      <w:hyperlink r:id="rId2" w:history="1">
        <w:r w:rsidRPr="005C343C">
          <w:rPr>
            <w:rStyle w:val="Hyperlink"/>
            <w:rtl/>
          </w:rPr>
          <w:t>العروة الوثقى، الطباطبائي اليزدي، السيد محمد كاظم، ج1، ص47.</w:t>
        </w:r>
      </w:hyperlink>
    </w:p>
  </w:footnote>
  <w:footnote w:id="3">
    <w:p w14:paraId="359F84C0" w14:textId="2A470C28" w:rsidR="005C343C" w:rsidRPr="005C343C" w:rsidRDefault="005C343C" w:rsidP="005C343C">
      <w:pPr>
        <w:pStyle w:val="FootnoteText"/>
        <w:rPr>
          <w:rtl/>
        </w:rPr>
      </w:pPr>
      <w:r w:rsidRPr="005C343C">
        <w:footnoteRef/>
      </w:r>
      <w:r w:rsidRPr="005C343C">
        <w:rPr>
          <w:rtl/>
        </w:rPr>
        <w:t xml:space="preserve"> </w:t>
      </w:r>
      <w:hyperlink r:id="rId3" w:history="1">
        <w:r w:rsidRPr="005C343C">
          <w:rPr>
            <w:rStyle w:val="Hyperlink"/>
            <w:rtl/>
          </w:rPr>
          <w:t>الکاف</w:t>
        </w:r>
        <w:r w:rsidRPr="005C343C">
          <w:rPr>
            <w:rStyle w:val="Hyperlink"/>
            <w:rFonts w:hint="cs"/>
            <w:rtl/>
          </w:rPr>
          <w:t>ی</w:t>
        </w:r>
        <w:r w:rsidRPr="005C343C">
          <w:rPr>
            <w:rStyle w:val="Hyperlink"/>
            <w:rFonts w:hint="eastAsia"/>
            <w:rtl/>
          </w:rPr>
          <w:t>،</w:t>
        </w:r>
        <w:r w:rsidRPr="005C343C">
          <w:rPr>
            <w:rStyle w:val="Hyperlink"/>
            <w:rtl/>
          </w:rPr>
          <w:t xml:space="preserve"> محمد بن </w:t>
        </w:r>
        <w:r w:rsidRPr="005C343C">
          <w:rPr>
            <w:rStyle w:val="Hyperlink"/>
            <w:rFonts w:hint="cs"/>
            <w:rtl/>
          </w:rPr>
          <w:t>ی</w:t>
        </w:r>
        <w:r w:rsidRPr="005C343C">
          <w:rPr>
            <w:rStyle w:val="Hyperlink"/>
            <w:rFonts w:hint="eastAsia"/>
            <w:rtl/>
          </w:rPr>
          <w:t>عقوب</w:t>
        </w:r>
        <w:r w:rsidRPr="005C343C">
          <w:rPr>
            <w:rStyle w:val="Hyperlink"/>
            <w:rtl/>
          </w:rPr>
          <w:t xml:space="preserve"> کل</w:t>
        </w:r>
        <w:r w:rsidRPr="005C343C">
          <w:rPr>
            <w:rStyle w:val="Hyperlink"/>
            <w:rFonts w:hint="cs"/>
            <w:rtl/>
          </w:rPr>
          <w:t>ی</w:t>
        </w:r>
        <w:r w:rsidRPr="005C343C">
          <w:rPr>
            <w:rStyle w:val="Hyperlink"/>
            <w:rFonts w:hint="eastAsia"/>
            <w:rtl/>
          </w:rPr>
          <w:t>ن</w:t>
        </w:r>
        <w:r w:rsidRPr="005C343C">
          <w:rPr>
            <w:rStyle w:val="Hyperlink"/>
            <w:rFonts w:hint="cs"/>
            <w:rtl/>
          </w:rPr>
          <w:t>ی</w:t>
        </w:r>
        <w:r w:rsidRPr="005C343C">
          <w:rPr>
            <w:rStyle w:val="Hyperlink"/>
            <w:rFonts w:hint="eastAsia"/>
            <w:rtl/>
          </w:rPr>
          <w:t>،</w:t>
        </w:r>
        <w:r w:rsidRPr="005C343C">
          <w:rPr>
            <w:rStyle w:val="Hyperlink"/>
            <w:rtl/>
          </w:rPr>
          <w:t xml:space="preserve"> ج1، ص67.</w:t>
        </w:r>
      </w:hyperlink>
    </w:p>
  </w:footnote>
  <w:footnote w:id="4">
    <w:p w14:paraId="44072F1E" w14:textId="42EEEE01" w:rsidR="002F7ACB" w:rsidRPr="002F7ACB" w:rsidRDefault="002F7ACB" w:rsidP="002F7ACB">
      <w:pPr>
        <w:pStyle w:val="FootnoteText"/>
        <w:rPr>
          <w:rtl/>
        </w:rPr>
      </w:pPr>
      <w:r w:rsidRPr="002F7ACB">
        <w:footnoteRef/>
      </w:r>
      <w:r w:rsidRPr="002F7ACB">
        <w:rPr>
          <w:rtl/>
        </w:rPr>
        <w:t xml:space="preserve"> </w:t>
      </w:r>
      <w:hyperlink r:id="rId4" w:history="1">
        <w:r w:rsidRPr="002F7ACB">
          <w:rPr>
            <w:rStyle w:val="Hyperlink"/>
            <w:rtl/>
          </w:rPr>
          <w:t>فقه الش</w:t>
        </w:r>
        <w:r w:rsidRPr="002F7ACB">
          <w:rPr>
            <w:rStyle w:val="Hyperlink"/>
            <w:rFonts w:hint="cs"/>
            <w:rtl/>
          </w:rPr>
          <w:t>ی</w:t>
        </w:r>
        <w:r w:rsidRPr="002F7ACB">
          <w:rPr>
            <w:rStyle w:val="Hyperlink"/>
            <w:rFonts w:hint="eastAsia"/>
            <w:rtl/>
          </w:rPr>
          <w:t>عه،</w:t>
        </w:r>
        <w:r w:rsidRPr="002F7ACB">
          <w:rPr>
            <w:rStyle w:val="Hyperlink"/>
            <w:rtl/>
          </w:rPr>
          <w:t xml:space="preserve"> </w:t>
        </w:r>
        <w:r w:rsidRPr="002F7ACB">
          <w:rPr>
            <w:rStyle w:val="Hyperlink"/>
            <w:rFonts w:ascii="Cambria" w:hAnsi="Cambria" w:cs="Cambria" w:hint="cs"/>
            <w:rtl/>
          </w:rPr>
          <w:t> </w:t>
        </w:r>
        <w:r w:rsidRPr="002F7ACB">
          <w:rPr>
            <w:rStyle w:val="Hyperlink"/>
            <w:rFonts w:hint="cs"/>
            <w:rtl/>
          </w:rPr>
          <w:t>الموسوي</w:t>
        </w:r>
        <w:r w:rsidRPr="002F7ACB">
          <w:rPr>
            <w:rStyle w:val="Hyperlink"/>
            <w:rtl/>
          </w:rPr>
          <w:t xml:space="preserve"> </w:t>
        </w:r>
        <w:r w:rsidRPr="002F7ACB">
          <w:rPr>
            <w:rStyle w:val="Hyperlink"/>
            <w:rFonts w:hint="cs"/>
            <w:rtl/>
          </w:rPr>
          <w:t>الخلخالي،</w:t>
        </w:r>
        <w:r w:rsidRPr="002F7ACB">
          <w:rPr>
            <w:rStyle w:val="Hyperlink"/>
            <w:rtl/>
          </w:rPr>
          <w:t xml:space="preserve"> </w:t>
        </w:r>
        <w:r w:rsidRPr="002F7ACB">
          <w:rPr>
            <w:rStyle w:val="Hyperlink"/>
            <w:rFonts w:hint="cs"/>
            <w:rtl/>
          </w:rPr>
          <w:t>السيد</w:t>
        </w:r>
        <w:r w:rsidRPr="002F7ACB">
          <w:rPr>
            <w:rStyle w:val="Hyperlink"/>
            <w:rtl/>
          </w:rPr>
          <w:t xml:space="preserve"> </w:t>
        </w:r>
        <w:r w:rsidRPr="002F7ACB">
          <w:rPr>
            <w:rStyle w:val="Hyperlink"/>
            <w:rFonts w:hint="cs"/>
            <w:rtl/>
          </w:rPr>
          <w:t>محمد</w:t>
        </w:r>
        <w:r w:rsidRPr="002F7ACB">
          <w:rPr>
            <w:rStyle w:val="Hyperlink"/>
            <w:rtl/>
          </w:rPr>
          <w:t xml:space="preserve"> </w:t>
        </w:r>
        <w:r w:rsidRPr="002F7ACB">
          <w:rPr>
            <w:rStyle w:val="Hyperlink"/>
            <w:rFonts w:hint="cs"/>
            <w:rtl/>
          </w:rPr>
          <w:t>مهدي،</w:t>
        </w:r>
        <w:r w:rsidRPr="002F7ACB">
          <w:rPr>
            <w:rStyle w:val="Hyperlink"/>
            <w:rtl/>
          </w:rPr>
          <w:t xml:space="preserve"> </w:t>
        </w:r>
        <w:r w:rsidRPr="002F7ACB">
          <w:rPr>
            <w:rStyle w:val="Hyperlink"/>
            <w:rFonts w:hint="cs"/>
            <w:rtl/>
          </w:rPr>
          <w:t>ج</w:t>
        </w:r>
        <w:r w:rsidRPr="002F7ACB">
          <w:rPr>
            <w:rStyle w:val="Hyperlink"/>
            <w:rtl/>
          </w:rPr>
          <w:t>7</w:t>
        </w:r>
        <w:r w:rsidRPr="002F7ACB">
          <w:rPr>
            <w:rStyle w:val="Hyperlink"/>
            <w:rFonts w:hint="cs"/>
            <w:rtl/>
          </w:rPr>
          <w:t>،</w:t>
        </w:r>
        <w:r w:rsidRPr="002F7ACB">
          <w:rPr>
            <w:rStyle w:val="Hyperlink"/>
            <w:rtl/>
          </w:rPr>
          <w:t xml:space="preserve"> </w:t>
        </w:r>
        <w:r w:rsidRPr="002F7ACB">
          <w:rPr>
            <w:rStyle w:val="Hyperlink"/>
            <w:rFonts w:hint="cs"/>
            <w:rtl/>
          </w:rPr>
          <w:t>ص</w:t>
        </w:r>
        <w:r w:rsidRPr="002F7ACB">
          <w:rPr>
            <w:rStyle w:val="Hyperlink"/>
            <w:rtl/>
          </w:rPr>
          <w:t>277.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E23E7"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6411E"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F02F0D">
      <w:rPr>
        <w:b/>
        <w:bCs/>
        <w:sz w:val="20"/>
        <w:szCs w:val="24"/>
        <w:rtl/>
      </w:rPr>
      <w:t>064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F02F0D">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F02F0D">
      <w:rPr>
        <w:b/>
        <w:bCs/>
        <w:color w:val="632423" w:themeColor="accent2" w:themeShade="80"/>
        <w:sz w:val="20"/>
        <w:szCs w:val="24"/>
        <w:rtl/>
      </w:rPr>
      <w:t>قائ</w:t>
    </w:r>
    <w:r w:rsidR="00F02F0D">
      <w:rPr>
        <w:rFonts w:hint="cs"/>
        <w:b/>
        <w:bCs/>
        <w:color w:val="632423" w:themeColor="accent2" w:themeShade="80"/>
        <w:sz w:val="20"/>
        <w:szCs w:val="24"/>
        <w:rtl/>
      </w:rPr>
      <w:t>ی</w:t>
    </w:r>
    <w:r w:rsidR="00F02F0D">
      <w:rPr>
        <w:rFonts w:hint="eastAsia"/>
        <w:b/>
        <w:bCs/>
        <w:color w:val="632423" w:themeColor="accent2" w:themeShade="80"/>
        <w:sz w:val="20"/>
        <w:szCs w:val="24"/>
        <w:rtl/>
      </w:rPr>
      <w:t>ن</w:t>
    </w:r>
    <w:r w:rsidR="00F02F0D">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F02F0D">
      <w:rPr>
        <w:sz w:val="24"/>
        <w:szCs w:val="24"/>
        <w:rtl/>
      </w:rPr>
      <w:t>5 /11 /1398</w:t>
    </w:r>
  </w:p>
  <w:p w14:paraId="34CCE6FA"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F02F0D">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F02F0D">
      <w:rPr>
        <w:sz w:val="24"/>
        <w:szCs w:val="24"/>
        <w:rtl/>
      </w:rPr>
      <w:t>مهد</w:t>
    </w:r>
    <w:r w:rsidR="00F02F0D">
      <w:rPr>
        <w:rFonts w:hint="cs"/>
        <w:sz w:val="24"/>
        <w:szCs w:val="24"/>
        <w:rtl/>
      </w:rPr>
      <w:t>ی</w:t>
    </w:r>
    <w:r w:rsidR="00F02F0D">
      <w:rPr>
        <w:sz w:val="24"/>
        <w:szCs w:val="24"/>
        <w:rtl/>
      </w:rPr>
      <w:t xml:space="preserve"> خسروب</w:t>
    </w:r>
    <w:r w:rsidR="00F02F0D">
      <w:rPr>
        <w:rFonts w:hint="cs"/>
        <w:sz w:val="24"/>
        <w:szCs w:val="24"/>
        <w:rtl/>
      </w:rPr>
      <w:t>ی</w:t>
    </w:r>
    <w:r w:rsidR="00F02F0D">
      <w:rPr>
        <w:rFonts w:hint="eastAsia"/>
        <w:sz w:val="24"/>
        <w:szCs w:val="24"/>
        <w:rtl/>
      </w:rPr>
      <w:t>گ</w:t>
    </w:r>
    <w:r w:rsidR="00F02F0D">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F02F0D">
      <w:rPr>
        <w:sz w:val="24"/>
        <w:szCs w:val="24"/>
        <w:rtl/>
      </w:rPr>
      <w:t>ولا</w:t>
    </w:r>
    <w:r w:rsidR="00F02F0D">
      <w:rPr>
        <w:rFonts w:hint="cs"/>
        <w:sz w:val="24"/>
        <w:szCs w:val="24"/>
        <w:rtl/>
      </w:rPr>
      <w:t>ی</w:t>
    </w:r>
    <w:r w:rsidR="00F02F0D">
      <w:rPr>
        <w:rFonts w:hint="eastAsia"/>
        <w:sz w:val="24"/>
        <w:szCs w:val="24"/>
        <w:rtl/>
      </w:rPr>
      <w:t>ت</w:t>
    </w:r>
    <w:r w:rsidR="00F02F0D">
      <w:rPr>
        <w:sz w:val="24"/>
        <w:szCs w:val="24"/>
        <w:rtl/>
      </w:rPr>
      <w:t xml:space="preserve"> تع</w:t>
    </w:r>
    <w:r w:rsidR="00F02F0D">
      <w:rPr>
        <w:rFonts w:hint="cs"/>
        <w:sz w:val="24"/>
        <w:szCs w:val="24"/>
        <w:rtl/>
      </w:rPr>
      <w:t>یی</w:t>
    </w:r>
    <w:r w:rsidR="00F02F0D">
      <w:rPr>
        <w:rFonts w:hint="eastAsia"/>
        <w:sz w:val="24"/>
        <w:szCs w:val="24"/>
        <w:rtl/>
      </w:rPr>
      <w:t>ن</w:t>
    </w:r>
    <w:r w:rsidR="00F02F0D">
      <w:rPr>
        <w:sz w:val="24"/>
        <w:szCs w:val="24"/>
        <w:rtl/>
      </w:rPr>
      <w:t xml:space="preserve"> قاض</w:t>
    </w:r>
    <w:r w:rsidR="00F02F0D">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16809"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224767"/>
    <w:multiLevelType w:val="hybridMultilevel"/>
    <w:tmpl w:val="58485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0596"/>
    <w:rsid w:val="00055496"/>
    <w:rsid w:val="00080A41"/>
    <w:rsid w:val="00082240"/>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1990"/>
    <w:rsid w:val="00247D2F"/>
    <w:rsid w:val="00256560"/>
    <w:rsid w:val="00265B6D"/>
    <w:rsid w:val="0027605E"/>
    <w:rsid w:val="00281E00"/>
    <w:rsid w:val="0029261B"/>
    <w:rsid w:val="00294A52"/>
    <w:rsid w:val="002B575F"/>
    <w:rsid w:val="002B729B"/>
    <w:rsid w:val="002C23B5"/>
    <w:rsid w:val="002C53A2"/>
    <w:rsid w:val="002D0040"/>
    <w:rsid w:val="002D2FA8"/>
    <w:rsid w:val="002D749D"/>
    <w:rsid w:val="002E220F"/>
    <w:rsid w:val="002F7ACB"/>
    <w:rsid w:val="00307311"/>
    <w:rsid w:val="0032100F"/>
    <w:rsid w:val="003324B3"/>
    <w:rsid w:val="0033402C"/>
    <w:rsid w:val="00340521"/>
    <w:rsid w:val="00345C73"/>
    <w:rsid w:val="00354A99"/>
    <w:rsid w:val="00360311"/>
    <w:rsid w:val="00361922"/>
    <w:rsid w:val="00372094"/>
    <w:rsid w:val="0037339B"/>
    <w:rsid w:val="00386C11"/>
    <w:rsid w:val="00397466"/>
    <w:rsid w:val="003A6148"/>
    <w:rsid w:val="003C33F6"/>
    <w:rsid w:val="003C3D2E"/>
    <w:rsid w:val="003C43A5"/>
    <w:rsid w:val="003D5A2C"/>
    <w:rsid w:val="003E1C5C"/>
    <w:rsid w:val="003E6650"/>
    <w:rsid w:val="003F5B46"/>
    <w:rsid w:val="00401363"/>
    <w:rsid w:val="00402E47"/>
    <w:rsid w:val="0041598E"/>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5480"/>
    <w:rsid w:val="004D2DD7"/>
    <w:rsid w:val="004D462F"/>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C343C"/>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8D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4A48"/>
    <w:rsid w:val="0096778A"/>
    <w:rsid w:val="00977656"/>
    <w:rsid w:val="009846A7"/>
    <w:rsid w:val="0098794D"/>
    <w:rsid w:val="0099497B"/>
    <w:rsid w:val="009A43BA"/>
    <w:rsid w:val="009B0D05"/>
    <w:rsid w:val="009B4CA6"/>
    <w:rsid w:val="009B79F8"/>
    <w:rsid w:val="009C66D5"/>
    <w:rsid w:val="009D13FD"/>
    <w:rsid w:val="009D266A"/>
    <w:rsid w:val="009E31AA"/>
    <w:rsid w:val="009F7E07"/>
    <w:rsid w:val="00A01522"/>
    <w:rsid w:val="00A10A11"/>
    <w:rsid w:val="00A13C6A"/>
    <w:rsid w:val="00A17B09"/>
    <w:rsid w:val="00A336F8"/>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2D0A"/>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2F0D"/>
    <w:rsid w:val="00F05D3C"/>
    <w:rsid w:val="00F07FB6"/>
    <w:rsid w:val="00F149D0"/>
    <w:rsid w:val="00F16B53"/>
    <w:rsid w:val="00F25ECD"/>
    <w:rsid w:val="00F318BE"/>
    <w:rsid w:val="00F32651"/>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B5FAE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5C343C"/>
    <w:rPr>
      <w:color w:val="605E5C"/>
      <w:shd w:val="clear" w:color="auto" w:fill="E1DFDD"/>
    </w:rPr>
  </w:style>
  <w:style w:type="character" w:styleId="FollowedHyperlink">
    <w:name w:val="FollowedHyperlink"/>
    <w:basedOn w:val="DefaultParagraphFont"/>
    <w:uiPriority w:val="99"/>
    <w:semiHidden/>
    <w:unhideWhenUsed/>
    <w:rsid w:val="002D749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1/67/&#1601;&#1614;&#1604;&#1618;&#1610;&#1614;&#1585;&#1618;&#1590;&#1614;&#1608;&#1618;&#1575;" TargetMode="External"/><Relationship Id="rId2" Type="http://schemas.openxmlformats.org/officeDocument/2006/relationships/hyperlink" Target="http://lib.eshia.ir/10027/1/47/&#1575;&#1604;&#1571;&#1593;&#1604;&#1605;&#1610;&#1577;" TargetMode="External"/><Relationship Id="rId1" Type="http://schemas.openxmlformats.org/officeDocument/2006/relationships/hyperlink" Target="http://lib.eshia.ir/10028/1/23/&#1575;&#1604;&#1605;&#1585;&#1575;&#1601;&#1593;&#1575;&#1578;" TargetMode="External"/><Relationship Id="rId4" Type="http://schemas.openxmlformats.org/officeDocument/2006/relationships/hyperlink" Target="http://lib.eshia.ir/71841/7/277/&#1575;&#1604;&#1605;&#1591;&#1575;&#1604;&#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2F072-76DE-4265-97EA-48BFAEBB0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2</Pages>
  <Words>494</Words>
  <Characters>2816</Characters>
  <Application>Microsoft Office Word</Application>
  <DocSecurity>0</DocSecurity>
  <Lines>23</Lines>
  <Paragraphs>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3304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5</cp:revision>
  <cp:lastPrinted>2020-02-08T10:58:00Z</cp:lastPrinted>
  <dcterms:created xsi:type="dcterms:W3CDTF">2020-02-06T11:02:00Z</dcterms:created>
  <dcterms:modified xsi:type="dcterms:W3CDTF">2020-02-08T10:58:00Z</dcterms:modified>
  <cp:contentStatus>ویرایش 2.5</cp:contentStatus>
  <cp:version>2.7</cp:version>
</cp:coreProperties>
</file>