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55CA3" w14:textId="77777777" w:rsidR="008B750B" w:rsidRPr="008A522A" w:rsidRDefault="00783473" w:rsidP="009C66D5">
      <w:pPr>
        <w:jc w:val="center"/>
        <w:rPr>
          <w:rtl/>
        </w:rPr>
      </w:pPr>
      <w:r>
        <w:rPr>
          <w:rFonts w:hint="cs"/>
          <w:noProof/>
          <w:rtl/>
        </w:rPr>
        <w:drawing>
          <wp:inline distT="0" distB="0" distL="0" distR="0" wp14:anchorId="040D4976" wp14:editId="0CC7F4E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A6E75F0" w14:textId="24C43395" w:rsidR="00D84D50"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1197997" w:history="1">
        <w:r w:rsidR="00D84D50" w:rsidRPr="009E1F56">
          <w:rPr>
            <w:rStyle w:val="Hyperlink"/>
            <w:noProof/>
            <w:rtl/>
          </w:rPr>
          <w:t>ولا</w:t>
        </w:r>
        <w:r w:rsidR="00D84D50" w:rsidRPr="009E1F56">
          <w:rPr>
            <w:rStyle w:val="Hyperlink"/>
            <w:rFonts w:hint="cs"/>
            <w:noProof/>
            <w:rtl/>
          </w:rPr>
          <w:t>ی</w:t>
        </w:r>
        <w:r w:rsidR="00D84D50" w:rsidRPr="009E1F56">
          <w:rPr>
            <w:rStyle w:val="Hyperlink"/>
            <w:rFonts w:hint="eastAsia"/>
            <w:noProof/>
            <w:rtl/>
          </w:rPr>
          <w:t>ت</w:t>
        </w:r>
        <w:r w:rsidR="00D84D50" w:rsidRPr="009E1F56">
          <w:rPr>
            <w:rStyle w:val="Hyperlink"/>
            <w:noProof/>
            <w:rtl/>
          </w:rPr>
          <w:t xml:space="preserve"> تع</w:t>
        </w:r>
        <w:r w:rsidR="00D84D50" w:rsidRPr="009E1F56">
          <w:rPr>
            <w:rStyle w:val="Hyperlink"/>
            <w:rFonts w:hint="cs"/>
            <w:noProof/>
            <w:rtl/>
          </w:rPr>
          <w:t>یی</w:t>
        </w:r>
        <w:r w:rsidR="00D84D50" w:rsidRPr="009E1F56">
          <w:rPr>
            <w:rStyle w:val="Hyperlink"/>
            <w:rFonts w:hint="eastAsia"/>
            <w:noProof/>
            <w:rtl/>
          </w:rPr>
          <w:t>ن</w:t>
        </w:r>
        <w:r w:rsidR="00D84D50" w:rsidRPr="009E1F56">
          <w:rPr>
            <w:rStyle w:val="Hyperlink"/>
            <w:noProof/>
            <w:rtl/>
          </w:rPr>
          <w:t xml:space="preserve"> قاض</w:t>
        </w:r>
        <w:r w:rsidR="00D84D50" w:rsidRPr="009E1F56">
          <w:rPr>
            <w:rStyle w:val="Hyperlink"/>
            <w:rFonts w:hint="cs"/>
            <w:noProof/>
            <w:rtl/>
          </w:rPr>
          <w:t>ی</w:t>
        </w:r>
        <w:r w:rsidR="00D84D50">
          <w:rPr>
            <w:noProof/>
            <w:webHidden/>
            <w:rtl/>
          </w:rPr>
          <w:tab/>
        </w:r>
        <w:r w:rsidR="00D84D50">
          <w:rPr>
            <w:noProof/>
            <w:webHidden/>
            <w:rtl/>
          </w:rPr>
          <w:fldChar w:fldCharType="begin"/>
        </w:r>
        <w:r w:rsidR="00D84D50">
          <w:rPr>
            <w:noProof/>
            <w:webHidden/>
            <w:rtl/>
          </w:rPr>
          <w:instrText xml:space="preserve"> </w:instrText>
        </w:r>
        <w:r w:rsidR="00D84D50">
          <w:rPr>
            <w:noProof/>
            <w:webHidden/>
          </w:rPr>
          <w:instrText>PAGEREF</w:instrText>
        </w:r>
        <w:r w:rsidR="00D84D50">
          <w:rPr>
            <w:noProof/>
            <w:webHidden/>
            <w:rtl/>
          </w:rPr>
          <w:instrText xml:space="preserve"> _</w:instrText>
        </w:r>
        <w:r w:rsidR="00D84D50">
          <w:rPr>
            <w:noProof/>
            <w:webHidden/>
          </w:rPr>
          <w:instrText>Toc</w:instrText>
        </w:r>
        <w:r w:rsidR="00D84D50">
          <w:rPr>
            <w:noProof/>
            <w:webHidden/>
            <w:rtl/>
          </w:rPr>
          <w:instrText xml:space="preserve">31197997 </w:instrText>
        </w:r>
        <w:r w:rsidR="00D84D50">
          <w:rPr>
            <w:noProof/>
            <w:webHidden/>
          </w:rPr>
          <w:instrText>\h</w:instrText>
        </w:r>
        <w:r w:rsidR="00D84D50">
          <w:rPr>
            <w:noProof/>
            <w:webHidden/>
            <w:rtl/>
          </w:rPr>
          <w:instrText xml:space="preserve"> </w:instrText>
        </w:r>
        <w:r w:rsidR="00D84D50">
          <w:rPr>
            <w:noProof/>
            <w:webHidden/>
            <w:rtl/>
          </w:rPr>
        </w:r>
        <w:r w:rsidR="00D84D50">
          <w:rPr>
            <w:noProof/>
            <w:webHidden/>
            <w:rtl/>
          </w:rPr>
          <w:fldChar w:fldCharType="separate"/>
        </w:r>
        <w:r w:rsidR="00A52CBA">
          <w:rPr>
            <w:noProof/>
            <w:webHidden/>
            <w:rtl/>
          </w:rPr>
          <w:t>1</w:t>
        </w:r>
        <w:r w:rsidR="00D84D50">
          <w:rPr>
            <w:noProof/>
            <w:webHidden/>
            <w:rtl/>
          </w:rPr>
          <w:fldChar w:fldCharType="end"/>
        </w:r>
      </w:hyperlink>
    </w:p>
    <w:p w14:paraId="1AAF3389" w14:textId="5E796EDF" w:rsidR="00D84D50" w:rsidRDefault="00A52CBA">
      <w:pPr>
        <w:pStyle w:val="TOC1"/>
        <w:rPr>
          <w:rFonts w:asciiTheme="minorHAnsi" w:eastAsiaTheme="minorEastAsia" w:hAnsiTheme="minorHAnsi" w:cstheme="minorBidi"/>
          <w:noProof/>
          <w:color w:val="auto"/>
          <w:szCs w:val="22"/>
          <w:rtl/>
        </w:rPr>
      </w:pPr>
      <w:hyperlink w:anchor="_Toc31197998" w:history="1">
        <w:r w:rsidR="00D84D50" w:rsidRPr="009E1F56">
          <w:rPr>
            <w:rStyle w:val="Hyperlink"/>
            <w:noProof/>
            <w:rtl/>
          </w:rPr>
          <w:t>نظر مرحوم خو</w:t>
        </w:r>
        <w:r w:rsidR="00D84D50" w:rsidRPr="009E1F56">
          <w:rPr>
            <w:rStyle w:val="Hyperlink"/>
            <w:rFonts w:hint="cs"/>
            <w:noProof/>
            <w:rtl/>
          </w:rPr>
          <w:t>یی</w:t>
        </w:r>
        <w:r w:rsidR="00D84D50" w:rsidRPr="009E1F56">
          <w:rPr>
            <w:rStyle w:val="Hyperlink"/>
            <w:noProof/>
            <w:rtl/>
          </w:rPr>
          <w:t xml:space="preserve"> در ولا</w:t>
        </w:r>
        <w:r w:rsidR="00D84D50" w:rsidRPr="009E1F56">
          <w:rPr>
            <w:rStyle w:val="Hyperlink"/>
            <w:rFonts w:hint="cs"/>
            <w:noProof/>
            <w:rtl/>
          </w:rPr>
          <w:t>ی</w:t>
        </w:r>
        <w:r w:rsidR="00D84D50" w:rsidRPr="009E1F56">
          <w:rPr>
            <w:rStyle w:val="Hyperlink"/>
            <w:rFonts w:hint="eastAsia"/>
            <w:noProof/>
            <w:rtl/>
          </w:rPr>
          <w:t>ت</w:t>
        </w:r>
        <w:r w:rsidR="00D84D50" w:rsidRPr="009E1F56">
          <w:rPr>
            <w:rStyle w:val="Hyperlink"/>
            <w:noProof/>
            <w:rtl/>
          </w:rPr>
          <w:t xml:space="preserve"> تع</w:t>
        </w:r>
        <w:r w:rsidR="00D84D50" w:rsidRPr="009E1F56">
          <w:rPr>
            <w:rStyle w:val="Hyperlink"/>
            <w:rFonts w:hint="cs"/>
            <w:noProof/>
            <w:rtl/>
          </w:rPr>
          <w:t>یی</w:t>
        </w:r>
        <w:r w:rsidR="00D84D50" w:rsidRPr="009E1F56">
          <w:rPr>
            <w:rStyle w:val="Hyperlink"/>
            <w:rFonts w:hint="eastAsia"/>
            <w:noProof/>
            <w:rtl/>
          </w:rPr>
          <w:t>ن</w:t>
        </w:r>
        <w:r w:rsidR="00D84D50" w:rsidRPr="009E1F56">
          <w:rPr>
            <w:rStyle w:val="Hyperlink"/>
            <w:noProof/>
            <w:rtl/>
          </w:rPr>
          <w:t xml:space="preserve"> قاض</w:t>
        </w:r>
        <w:r w:rsidR="00D84D50" w:rsidRPr="009E1F56">
          <w:rPr>
            <w:rStyle w:val="Hyperlink"/>
            <w:rFonts w:hint="cs"/>
            <w:noProof/>
            <w:rtl/>
          </w:rPr>
          <w:t>ی</w:t>
        </w:r>
        <w:r w:rsidR="00D84D50">
          <w:rPr>
            <w:noProof/>
            <w:webHidden/>
            <w:rtl/>
          </w:rPr>
          <w:tab/>
        </w:r>
        <w:r w:rsidR="00D84D50">
          <w:rPr>
            <w:noProof/>
            <w:webHidden/>
            <w:rtl/>
          </w:rPr>
          <w:fldChar w:fldCharType="begin"/>
        </w:r>
        <w:r w:rsidR="00D84D50">
          <w:rPr>
            <w:noProof/>
            <w:webHidden/>
            <w:rtl/>
          </w:rPr>
          <w:instrText xml:space="preserve"> </w:instrText>
        </w:r>
        <w:r w:rsidR="00D84D50">
          <w:rPr>
            <w:noProof/>
            <w:webHidden/>
          </w:rPr>
          <w:instrText>PAGEREF</w:instrText>
        </w:r>
        <w:r w:rsidR="00D84D50">
          <w:rPr>
            <w:noProof/>
            <w:webHidden/>
            <w:rtl/>
          </w:rPr>
          <w:instrText xml:space="preserve"> _</w:instrText>
        </w:r>
        <w:r w:rsidR="00D84D50">
          <w:rPr>
            <w:noProof/>
            <w:webHidden/>
          </w:rPr>
          <w:instrText>Toc</w:instrText>
        </w:r>
        <w:r w:rsidR="00D84D50">
          <w:rPr>
            <w:noProof/>
            <w:webHidden/>
            <w:rtl/>
          </w:rPr>
          <w:instrText xml:space="preserve">31197998 </w:instrText>
        </w:r>
        <w:r w:rsidR="00D84D50">
          <w:rPr>
            <w:noProof/>
            <w:webHidden/>
          </w:rPr>
          <w:instrText>\h</w:instrText>
        </w:r>
        <w:r w:rsidR="00D84D50">
          <w:rPr>
            <w:noProof/>
            <w:webHidden/>
            <w:rtl/>
          </w:rPr>
          <w:instrText xml:space="preserve"> </w:instrText>
        </w:r>
        <w:r w:rsidR="00D84D50">
          <w:rPr>
            <w:noProof/>
            <w:webHidden/>
            <w:rtl/>
          </w:rPr>
        </w:r>
        <w:r w:rsidR="00D84D50">
          <w:rPr>
            <w:noProof/>
            <w:webHidden/>
            <w:rtl/>
          </w:rPr>
          <w:fldChar w:fldCharType="separate"/>
        </w:r>
        <w:r>
          <w:rPr>
            <w:noProof/>
            <w:webHidden/>
            <w:rtl/>
          </w:rPr>
          <w:t>2</w:t>
        </w:r>
        <w:r w:rsidR="00D84D50">
          <w:rPr>
            <w:noProof/>
            <w:webHidden/>
            <w:rtl/>
          </w:rPr>
          <w:fldChar w:fldCharType="end"/>
        </w:r>
      </w:hyperlink>
    </w:p>
    <w:p w14:paraId="4E58BCDA" w14:textId="40567B36" w:rsidR="00D84D50" w:rsidRDefault="00A52CBA">
      <w:pPr>
        <w:pStyle w:val="TOC2"/>
        <w:tabs>
          <w:tab w:val="right" w:leader="dot" w:pos="10194"/>
        </w:tabs>
        <w:rPr>
          <w:rFonts w:asciiTheme="minorHAnsi" w:eastAsiaTheme="minorEastAsia" w:hAnsiTheme="minorHAnsi" w:cstheme="minorBidi"/>
          <w:bCs w:val="0"/>
          <w:noProof/>
          <w:color w:val="auto"/>
          <w:szCs w:val="22"/>
          <w:rtl/>
        </w:rPr>
      </w:pPr>
      <w:hyperlink w:anchor="_Toc31197999" w:history="1">
        <w:r w:rsidR="00D84D50" w:rsidRPr="009E1F56">
          <w:rPr>
            <w:rStyle w:val="Hyperlink"/>
            <w:noProof/>
            <w:rtl/>
          </w:rPr>
          <w:t>اشکال استاد به مرحوم خو</w:t>
        </w:r>
        <w:r w:rsidR="00D84D50" w:rsidRPr="009E1F56">
          <w:rPr>
            <w:rStyle w:val="Hyperlink"/>
            <w:rFonts w:hint="cs"/>
            <w:noProof/>
            <w:rtl/>
          </w:rPr>
          <w:t>یی</w:t>
        </w:r>
        <w:r w:rsidR="00D84D50">
          <w:rPr>
            <w:noProof/>
            <w:webHidden/>
            <w:rtl/>
          </w:rPr>
          <w:tab/>
        </w:r>
        <w:r w:rsidR="00D84D50">
          <w:rPr>
            <w:noProof/>
            <w:webHidden/>
            <w:rtl/>
          </w:rPr>
          <w:fldChar w:fldCharType="begin"/>
        </w:r>
        <w:r w:rsidR="00D84D50">
          <w:rPr>
            <w:noProof/>
            <w:webHidden/>
            <w:rtl/>
          </w:rPr>
          <w:instrText xml:space="preserve"> </w:instrText>
        </w:r>
        <w:r w:rsidR="00D84D50">
          <w:rPr>
            <w:noProof/>
            <w:webHidden/>
          </w:rPr>
          <w:instrText>PAGEREF</w:instrText>
        </w:r>
        <w:r w:rsidR="00D84D50">
          <w:rPr>
            <w:noProof/>
            <w:webHidden/>
            <w:rtl/>
          </w:rPr>
          <w:instrText xml:space="preserve"> _</w:instrText>
        </w:r>
        <w:r w:rsidR="00D84D50">
          <w:rPr>
            <w:noProof/>
            <w:webHidden/>
          </w:rPr>
          <w:instrText>Toc</w:instrText>
        </w:r>
        <w:r w:rsidR="00D84D50">
          <w:rPr>
            <w:noProof/>
            <w:webHidden/>
            <w:rtl/>
          </w:rPr>
          <w:instrText xml:space="preserve">31197999 </w:instrText>
        </w:r>
        <w:r w:rsidR="00D84D50">
          <w:rPr>
            <w:noProof/>
            <w:webHidden/>
          </w:rPr>
          <w:instrText>\h</w:instrText>
        </w:r>
        <w:r w:rsidR="00D84D50">
          <w:rPr>
            <w:noProof/>
            <w:webHidden/>
            <w:rtl/>
          </w:rPr>
          <w:instrText xml:space="preserve"> </w:instrText>
        </w:r>
        <w:r w:rsidR="00D84D50">
          <w:rPr>
            <w:noProof/>
            <w:webHidden/>
            <w:rtl/>
          </w:rPr>
        </w:r>
        <w:r w:rsidR="00D84D50">
          <w:rPr>
            <w:noProof/>
            <w:webHidden/>
            <w:rtl/>
          </w:rPr>
          <w:fldChar w:fldCharType="separate"/>
        </w:r>
        <w:r>
          <w:rPr>
            <w:noProof/>
            <w:webHidden/>
            <w:rtl/>
          </w:rPr>
          <w:t>2</w:t>
        </w:r>
        <w:r w:rsidR="00D84D50">
          <w:rPr>
            <w:noProof/>
            <w:webHidden/>
            <w:rtl/>
          </w:rPr>
          <w:fldChar w:fldCharType="end"/>
        </w:r>
      </w:hyperlink>
    </w:p>
    <w:p w14:paraId="3D51C5DF" w14:textId="2D47106C" w:rsidR="00D84D50" w:rsidRDefault="00A52CBA">
      <w:pPr>
        <w:pStyle w:val="TOC1"/>
        <w:rPr>
          <w:rFonts w:asciiTheme="minorHAnsi" w:eastAsiaTheme="minorEastAsia" w:hAnsiTheme="minorHAnsi" w:cstheme="minorBidi"/>
          <w:noProof/>
          <w:color w:val="auto"/>
          <w:szCs w:val="22"/>
          <w:rtl/>
        </w:rPr>
      </w:pPr>
      <w:hyperlink w:anchor="_Toc31198000" w:history="1">
        <w:r w:rsidR="00D84D50" w:rsidRPr="009E1F56">
          <w:rPr>
            <w:rStyle w:val="Hyperlink"/>
            <w:noProof/>
            <w:rtl/>
          </w:rPr>
          <w:t>کلام مرحوم س</w:t>
        </w:r>
        <w:r w:rsidR="00D84D50" w:rsidRPr="009E1F56">
          <w:rPr>
            <w:rStyle w:val="Hyperlink"/>
            <w:rFonts w:hint="cs"/>
            <w:noProof/>
            <w:rtl/>
          </w:rPr>
          <w:t>ی</w:t>
        </w:r>
        <w:r w:rsidR="00D84D50" w:rsidRPr="009E1F56">
          <w:rPr>
            <w:rStyle w:val="Hyperlink"/>
            <w:rFonts w:hint="eastAsia"/>
            <w:noProof/>
            <w:rtl/>
          </w:rPr>
          <w:t>د</w:t>
        </w:r>
        <w:r w:rsidR="00D84D50" w:rsidRPr="009E1F56">
          <w:rPr>
            <w:rStyle w:val="Hyperlink"/>
            <w:noProof/>
            <w:rtl/>
          </w:rPr>
          <w:t xml:space="preserve"> در تع</w:t>
        </w:r>
        <w:r w:rsidR="00D84D50" w:rsidRPr="009E1F56">
          <w:rPr>
            <w:rStyle w:val="Hyperlink"/>
            <w:rFonts w:hint="cs"/>
            <w:noProof/>
            <w:rtl/>
          </w:rPr>
          <w:t>یی</w:t>
        </w:r>
        <w:r w:rsidR="00D84D50" w:rsidRPr="009E1F56">
          <w:rPr>
            <w:rStyle w:val="Hyperlink"/>
            <w:rFonts w:hint="eastAsia"/>
            <w:noProof/>
            <w:rtl/>
          </w:rPr>
          <w:t>ن</w:t>
        </w:r>
        <w:r w:rsidR="00D84D50" w:rsidRPr="009E1F56">
          <w:rPr>
            <w:rStyle w:val="Hyperlink"/>
            <w:noProof/>
            <w:rtl/>
          </w:rPr>
          <w:t xml:space="preserve"> قاض</w:t>
        </w:r>
        <w:r w:rsidR="00D84D50" w:rsidRPr="009E1F56">
          <w:rPr>
            <w:rStyle w:val="Hyperlink"/>
            <w:rFonts w:hint="cs"/>
            <w:noProof/>
            <w:rtl/>
          </w:rPr>
          <w:t>ی</w:t>
        </w:r>
        <w:r w:rsidR="00D84D50">
          <w:rPr>
            <w:noProof/>
            <w:webHidden/>
            <w:rtl/>
          </w:rPr>
          <w:tab/>
        </w:r>
        <w:r w:rsidR="00D84D50">
          <w:rPr>
            <w:noProof/>
            <w:webHidden/>
            <w:rtl/>
          </w:rPr>
          <w:fldChar w:fldCharType="begin"/>
        </w:r>
        <w:r w:rsidR="00D84D50">
          <w:rPr>
            <w:noProof/>
            <w:webHidden/>
            <w:rtl/>
          </w:rPr>
          <w:instrText xml:space="preserve"> </w:instrText>
        </w:r>
        <w:r w:rsidR="00D84D50">
          <w:rPr>
            <w:noProof/>
            <w:webHidden/>
          </w:rPr>
          <w:instrText>PAGEREF</w:instrText>
        </w:r>
        <w:r w:rsidR="00D84D50">
          <w:rPr>
            <w:noProof/>
            <w:webHidden/>
            <w:rtl/>
          </w:rPr>
          <w:instrText xml:space="preserve"> _</w:instrText>
        </w:r>
        <w:r w:rsidR="00D84D50">
          <w:rPr>
            <w:noProof/>
            <w:webHidden/>
          </w:rPr>
          <w:instrText>Toc</w:instrText>
        </w:r>
        <w:r w:rsidR="00D84D50">
          <w:rPr>
            <w:noProof/>
            <w:webHidden/>
            <w:rtl/>
          </w:rPr>
          <w:instrText xml:space="preserve">31198000 </w:instrText>
        </w:r>
        <w:r w:rsidR="00D84D50">
          <w:rPr>
            <w:noProof/>
            <w:webHidden/>
          </w:rPr>
          <w:instrText>\h</w:instrText>
        </w:r>
        <w:r w:rsidR="00D84D50">
          <w:rPr>
            <w:noProof/>
            <w:webHidden/>
            <w:rtl/>
          </w:rPr>
          <w:instrText xml:space="preserve"> </w:instrText>
        </w:r>
        <w:r w:rsidR="00D84D50">
          <w:rPr>
            <w:noProof/>
            <w:webHidden/>
            <w:rtl/>
          </w:rPr>
        </w:r>
        <w:r w:rsidR="00D84D50">
          <w:rPr>
            <w:noProof/>
            <w:webHidden/>
            <w:rtl/>
          </w:rPr>
          <w:fldChar w:fldCharType="separate"/>
        </w:r>
        <w:r>
          <w:rPr>
            <w:noProof/>
            <w:webHidden/>
            <w:rtl/>
          </w:rPr>
          <w:t>2</w:t>
        </w:r>
        <w:r w:rsidR="00D84D50">
          <w:rPr>
            <w:noProof/>
            <w:webHidden/>
            <w:rtl/>
          </w:rPr>
          <w:fldChar w:fldCharType="end"/>
        </w:r>
      </w:hyperlink>
    </w:p>
    <w:p w14:paraId="53DF966E" w14:textId="0520CB37" w:rsidR="00C91EB6" w:rsidRPr="00C91EB6" w:rsidRDefault="00A01522" w:rsidP="00C91EB6">
      <w:r>
        <w:rPr>
          <w:rFonts w:cs="B Titr"/>
          <w:noProof/>
          <w:webHidden/>
          <w:color w:val="632423" w:themeColor="accent2" w:themeShade="80"/>
          <w:szCs w:val="24"/>
          <w:rtl/>
        </w:rPr>
        <w:fldChar w:fldCharType="end"/>
      </w:r>
    </w:p>
    <w:p w14:paraId="439AE32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16B0B">
        <w:rPr>
          <w:rtl/>
        </w:rPr>
        <w:t>ولا</w:t>
      </w:r>
      <w:r w:rsidR="00016B0B">
        <w:rPr>
          <w:rFonts w:hint="cs"/>
          <w:rtl/>
        </w:rPr>
        <w:t>ی</w:t>
      </w:r>
      <w:r w:rsidR="00016B0B">
        <w:rPr>
          <w:rFonts w:hint="eastAsia"/>
          <w:rtl/>
        </w:rPr>
        <w:t>ت</w:t>
      </w:r>
      <w:r w:rsidR="00016B0B">
        <w:rPr>
          <w:rtl/>
        </w:rPr>
        <w:t xml:space="preserve"> تع</w:t>
      </w:r>
      <w:r w:rsidR="00016B0B">
        <w:rPr>
          <w:rFonts w:hint="cs"/>
          <w:rtl/>
        </w:rPr>
        <w:t>یی</w:t>
      </w:r>
      <w:r w:rsidR="00016B0B">
        <w:rPr>
          <w:rFonts w:hint="eastAsia"/>
          <w:rtl/>
        </w:rPr>
        <w:t>ن</w:t>
      </w:r>
      <w:r w:rsidR="00016B0B">
        <w:rPr>
          <w:rtl/>
        </w:rPr>
        <w:t xml:space="preserve"> قاض</w:t>
      </w:r>
      <w:r w:rsidR="00016B0B">
        <w:rPr>
          <w:rFonts w:hint="cs"/>
          <w:rtl/>
        </w:rPr>
        <w:t>ی</w:t>
      </w:r>
      <w:r w:rsidR="00025B70">
        <w:rPr>
          <w:rFonts w:hint="cs"/>
          <w:rtl/>
        </w:rPr>
        <w:t xml:space="preserve"> </w:t>
      </w:r>
      <w:r w:rsidR="00386C11" w:rsidRPr="00A6366F">
        <w:rPr>
          <w:rFonts w:hint="cs"/>
          <w:rtl/>
        </w:rPr>
        <w:t>/</w:t>
      </w:r>
      <w:bookmarkStart w:id="1" w:name="BokSabj_d"/>
      <w:bookmarkEnd w:id="1"/>
      <w:r w:rsidR="00016B0B">
        <w:rPr>
          <w:rtl/>
        </w:rPr>
        <w:t>القضا</w:t>
      </w:r>
      <w:r w:rsidR="00386C11" w:rsidRPr="00A6366F">
        <w:rPr>
          <w:rFonts w:hint="cs"/>
          <w:rtl/>
        </w:rPr>
        <w:t xml:space="preserve"> /</w:t>
      </w:r>
      <w:bookmarkStart w:id="2" w:name="Bokkolli"/>
      <w:bookmarkEnd w:id="2"/>
      <w:r w:rsidR="00016B0B">
        <w:rPr>
          <w:rtl/>
        </w:rPr>
        <w:t>کتاب القضا</w:t>
      </w:r>
      <w:r w:rsidR="001B6799" w:rsidRPr="00A6366F">
        <w:rPr>
          <w:rFonts w:hint="cs"/>
          <w:rtl/>
        </w:rPr>
        <w:t xml:space="preserve"> </w:t>
      </w:r>
    </w:p>
    <w:p w14:paraId="280976A2"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2EB89004" w14:textId="351BF125" w:rsidR="00D84D50" w:rsidRPr="00D54106" w:rsidRDefault="00D84D50" w:rsidP="00D84D50">
      <w:pPr>
        <w:jc w:val="both"/>
        <w:rPr>
          <w:sz w:val="28"/>
          <w:rtl/>
        </w:rPr>
      </w:pPr>
      <w:r w:rsidRPr="00D54106">
        <w:rPr>
          <w:rFonts w:hint="cs"/>
          <w:sz w:val="28"/>
          <w:rtl/>
        </w:rPr>
        <w:t>بحث ما در مسأله ولایت بر تعیین قاضی بود. این مسأله در جایی که شبهه حکمیه باشد، بسیار مهم است. اگر تعیین قاضی به عهده هر کدام از طرفین باشد او محکوم له می شود. مثلا زن و فرزندان م</w:t>
      </w:r>
      <w:r w:rsidR="00687FD8">
        <w:rPr>
          <w:rFonts w:hint="cs"/>
          <w:sz w:val="28"/>
          <w:rtl/>
        </w:rPr>
        <w:t>یت در ارث از عقار اختلاف دارند؛</w:t>
      </w:r>
      <w:r w:rsidRPr="00D54106">
        <w:rPr>
          <w:rFonts w:hint="cs"/>
          <w:sz w:val="28"/>
          <w:rtl/>
        </w:rPr>
        <w:t xml:space="preserve"> زن مقلد مرجعی است که قائل به ارث از عقار است و فرزندان میت مقلد کسی هستند که قائل به ارث از عقار نیست. حال اگر اختیار انتخاب قاضی با زن باشد</w:t>
      </w:r>
      <w:r w:rsidR="00687FD8">
        <w:rPr>
          <w:rFonts w:hint="cs"/>
          <w:sz w:val="28"/>
          <w:rtl/>
        </w:rPr>
        <w:t>،</w:t>
      </w:r>
      <w:r w:rsidRPr="00D54106">
        <w:rPr>
          <w:rFonts w:hint="cs"/>
          <w:sz w:val="28"/>
          <w:rtl/>
        </w:rPr>
        <w:t xml:space="preserve"> می تواند قاضی ای را انتخاب کند که قائل به ارث از عقار است و در این صورت به نفع او حکم می شود.</w:t>
      </w:r>
    </w:p>
    <w:p w14:paraId="7979B859" w14:textId="77777777" w:rsidR="00D84D50" w:rsidRPr="00D54106" w:rsidRDefault="00D84D50" w:rsidP="00D84D50">
      <w:pPr>
        <w:pStyle w:val="Heading1"/>
        <w:rPr>
          <w:rtl/>
        </w:rPr>
      </w:pPr>
      <w:bookmarkStart w:id="4" w:name="_Toc31197997"/>
      <w:r w:rsidRPr="00D54106">
        <w:rPr>
          <w:rFonts w:hint="cs"/>
          <w:rtl/>
        </w:rPr>
        <w:t>ولایت تعیین قاضی</w:t>
      </w:r>
      <w:bookmarkEnd w:id="4"/>
    </w:p>
    <w:p w14:paraId="4DA238CD" w14:textId="40AC3EB1" w:rsidR="00D84D50" w:rsidRPr="00D54106" w:rsidRDefault="00D84D50" w:rsidP="009F519D">
      <w:pPr>
        <w:jc w:val="both"/>
        <w:rPr>
          <w:sz w:val="28"/>
          <w:rtl/>
        </w:rPr>
      </w:pPr>
      <w:r w:rsidRPr="00D54106">
        <w:rPr>
          <w:rFonts w:hint="cs"/>
          <w:sz w:val="28"/>
          <w:rtl/>
        </w:rPr>
        <w:t xml:space="preserve">مرحوم خویی در مقام فرموده است که کلام در ولایت انتخاب قاضی گاهی در مدعی و منکر است و گاهی در متداعیین. مثلا یکی می گوید طلبکارم و دیگری می گوید بدهکار نیستم که در این صورت یکی از آنها مدعی و دیگری منکر است. اما اگر زن بگوید زن از عقار ارث می برد و فرزندان میت بگویند زن از عقار ارث نمی برد در این صورت متداعیین هستند. </w:t>
      </w:r>
    </w:p>
    <w:p w14:paraId="6369DDB9" w14:textId="4E5FF15C" w:rsidR="00D84D50" w:rsidRPr="00D54106" w:rsidRDefault="00D84D50" w:rsidP="009F519D">
      <w:pPr>
        <w:jc w:val="both"/>
        <w:rPr>
          <w:sz w:val="28"/>
          <w:rtl/>
        </w:rPr>
      </w:pPr>
      <w:r w:rsidRPr="00D54106">
        <w:rPr>
          <w:rFonts w:hint="cs"/>
          <w:sz w:val="28"/>
          <w:rtl/>
        </w:rPr>
        <w:t>بحث مهمی در ضابطه تشخیص مدعی از منکر وجود دارد که آیا ملاک مصب الدعوی است</w:t>
      </w:r>
      <w:r w:rsidR="009F519D">
        <w:rPr>
          <w:rFonts w:hint="cs"/>
          <w:sz w:val="28"/>
          <w:rtl/>
        </w:rPr>
        <w:t>؟</w:t>
      </w:r>
      <w:r w:rsidRPr="00D54106">
        <w:rPr>
          <w:rFonts w:hint="cs"/>
          <w:sz w:val="28"/>
          <w:rtl/>
        </w:rPr>
        <w:t xml:space="preserve"> یعنی اگر آمدند و گفتند که مادر ما ارث نمی برد می شوند منکر و اگر گف</w:t>
      </w:r>
      <w:r w:rsidR="009F519D">
        <w:rPr>
          <w:rFonts w:hint="cs"/>
          <w:sz w:val="28"/>
          <w:rtl/>
        </w:rPr>
        <w:t>تند ما ارث می بریم می شوند مدعی؛</w:t>
      </w:r>
      <w:r w:rsidRPr="00D54106">
        <w:rPr>
          <w:rFonts w:hint="cs"/>
          <w:sz w:val="28"/>
          <w:rtl/>
        </w:rPr>
        <w:t xml:space="preserve"> یا اینکه ملاک نتیجه دعو</w:t>
      </w:r>
      <w:r w:rsidR="009F519D">
        <w:rPr>
          <w:rFonts w:hint="cs"/>
          <w:sz w:val="28"/>
          <w:rtl/>
        </w:rPr>
        <w:t>است هر چند مصب دعوا انکار باشد؟ بحث آن خواهد آمد ان شاء الله.</w:t>
      </w:r>
    </w:p>
    <w:p w14:paraId="6F6BE675" w14:textId="2BB2440F" w:rsidR="00D84D50" w:rsidRPr="00D54106" w:rsidRDefault="00D84D50" w:rsidP="009F519D">
      <w:pPr>
        <w:jc w:val="both"/>
        <w:rPr>
          <w:sz w:val="28"/>
          <w:rtl/>
        </w:rPr>
      </w:pPr>
      <w:r w:rsidRPr="00D54106">
        <w:rPr>
          <w:rFonts w:hint="cs"/>
          <w:sz w:val="28"/>
          <w:rtl/>
        </w:rPr>
        <w:t xml:space="preserve">مشهور گفتند تعیین قاضی به عهده مدعی است و برای این نظر وجوهی مطرح شد و رد شد. </w:t>
      </w:r>
      <w:r w:rsidR="009F519D">
        <w:rPr>
          <w:rFonts w:hint="cs"/>
          <w:sz w:val="28"/>
          <w:rtl/>
        </w:rPr>
        <w:t>وجه اول، اجماع بود و وجه دیگر</w:t>
      </w:r>
      <w:r w:rsidRPr="00D54106">
        <w:rPr>
          <w:rFonts w:hint="cs"/>
          <w:sz w:val="28"/>
          <w:rtl/>
        </w:rPr>
        <w:t xml:space="preserve"> این که حق مال مدعی </w:t>
      </w:r>
      <w:r w:rsidR="009F519D">
        <w:rPr>
          <w:rFonts w:hint="cs"/>
          <w:sz w:val="28"/>
          <w:rtl/>
        </w:rPr>
        <w:t>است پس او باید تعیین قاضی کند.</w:t>
      </w:r>
      <w:r w:rsidRPr="00D54106">
        <w:rPr>
          <w:rFonts w:hint="cs"/>
          <w:sz w:val="28"/>
          <w:rtl/>
        </w:rPr>
        <w:t xml:space="preserve"> مرحوم خویی این وجه را نپذیرفت.</w:t>
      </w:r>
    </w:p>
    <w:p w14:paraId="1975180F" w14:textId="70E9C784" w:rsidR="00D84D50" w:rsidRPr="00D54106" w:rsidRDefault="00D84D50" w:rsidP="009F519D">
      <w:pPr>
        <w:pStyle w:val="Heading1"/>
        <w:rPr>
          <w:rtl/>
        </w:rPr>
      </w:pPr>
      <w:bookmarkStart w:id="5" w:name="_Toc31197998"/>
      <w:r w:rsidRPr="00D54106">
        <w:rPr>
          <w:rFonts w:hint="cs"/>
          <w:rtl/>
        </w:rPr>
        <w:lastRenderedPageBreak/>
        <w:t>نظر مرحوم خویی در تعیین قاضی</w:t>
      </w:r>
      <w:bookmarkEnd w:id="5"/>
    </w:p>
    <w:p w14:paraId="3C28AD2C" w14:textId="14AD8211" w:rsidR="00D84D50" w:rsidRPr="00D84D50" w:rsidRDefault="00D84D50" w:rsidP="004F5DAC">
      <w:pPr>
        <w:jc w:val="both"/>
        <w:rPr>
          <w:color w:val="008000"/>
          <w:rtl/>
        </w:rPr>
      </w:pPr>
      <w:r w:rsidRPr="00D84D50">
        <w:rPr>
          <w:rFonts w:hint="cs"/>
          <w:rtl/>
        </w:rPr>
        <w:t>ایشان</w:t>
      </w:r>
      <w:r>
        <w:rPr>
          <w:rStyle w:val="FootnoteReference"/>
          <w:rtl/>
        </w:rPr>
        <w:footnoteReference w:id="1"/>
      </w:r>
      <w:r w:rsidRPr="00D84D50">
        <w:rPr>
          <w:rFonts w:hint="cs"/>
          <w:rtl/>
        </w:rPr>
        <w:t xml:space="preserve"> فرموده است</w:t>
      </w:r>
      <w:r w:rsidR="004F5DAC" w:rsidRPr="004F5DAC">
        <w:rPr>
          <w:rFonts w:hint="cs"/>
          <w:rtl/>
        </w:rPr>
        <w:t xml:space="preserve"> </w:t>
      </w:r>
      <w:r w:rsidRPr="00D84D50">
        <w:rPr>
          <w:rFonts w:hint="cs"/>
          <w:rtl/>
        </w:rPr>
        <w:t xml:space="preserve">تعیین قاضی بر عهده مدعی است البته نه با بیانی که ذکر شد. ایشان می فرماید چون مدعی می گوید من طلبکارم، نباید راه اثبات را منکر تعیین کند. مدعی اگر راهی شرعی برای اثبات داشته باشد آن راه برای همه حجت است. ایشان استشهاد کرده است به جریان انبیاء و فرموده است که اگر کسی ادعای نبوت کرد مردم حق طلب معجزه دارند ولی حق ندارند بگویند چه معجزه ای باید بیاوری و نوع معجزه را خدا تعیین می کند فقط باید معجزه بودن آن نزد مردم ثابت شود. به همین خاطر وقتی بعضی از معاندین طلب معجزه خاصی می کردند ایشان می فرمودند که تعیین نوع معجزه با شما نیست. </w:t>
      </w:r>
      <w:r>
        <w:rPr>
          <w:rFonts w:ascii="Sakkal Majalla" w:hAnsi="Sakkal Majalla" w:cs="Sakkal Majalla" w:hint="cs"/>
          <w:color w:val="008000"/>
          <w:rtl/>
        </w:rPr>
        <w:t>﴿</w:t>
      </w:r>
      <w:r w:rsidRPr="004F5DAC">
        <w:rPr>
          <w:rFonts w:ascii="Traditional Arabic" w:hAnsi="Traditional Arabic" w:hint="cs"/>
          <w:color w:val="008000"/>
          <w:rtl/>
        </w:rPr>
        <w:t>وَ لَنْ نُؤْمِنَ لِرُقِيِّكَ حَتَّى تُنَزِّلَ عَلَيْنا كِتاباً نَقْرَؤُهُ قُلْ سُبْحانَ رَبِّي هَلْ كُنْتُ إِلاَّ بَشَراً رَسُولا</w:t>
      </w:r>
      <w:r w:rsidRPr="00D84D50">
        <w:rPr>
          <w:rFonts w:ascii="Sakkal Majalla" w:hAnsi="Sakkal Majalla" w:cs="Sakkal Majalla" w:hint="cs"/>
          <w:color w:val="008000"/>
          <w:rtl/>
        </w:rPr>
        <w:t>﴾</w:t>
      </w:r>
      <w:r>
        <w:rPr>
          <w:rStyle w:val="FootnoteReference"/>
          <w:color w:val="008000"/>
          <w:rtl/>
        </w:rPr>
        <w:footnoteReference w:id="2"/>
      </w:r>
    </w:p>
    <w:p w14:paraId="7F8853E3" w14:textId="77777777" w:rsidR="00D84D50" w:rsidRPr="00D84D50" w:rsidRDefault="00D84D50" w:rsidP="00D84D50">
      <w:pPr>
        <w:pStyle w:val="Heading2"/>
        <w:rPr>
          <w:rtl/>
        </w:rPr>
      </w:pPr>
      <w:bookmarkStart w:id="6" w:name="_Toc31197999"/>
      <w:r w:rsidRPr="00D84D50">
        <w:rPr>
          <w:rFonts w:hint="cs"/>
          <w:rtl/>
        </w:rPr>
        <w:t>اشکال استاد به مرحوم خویی</w:t>
      </w:r>
      <w:bookmarkEnd w:id="6"/>
    </w:p>
    <w:p w14:paraId="2C0722AD" w14:textId="5B473840" w:rsidR="00D84D50" w:rsidRPr="00D84D50" w:rsidRDefault="00D84D50" w:rsidP="003B103D">
      <w:pPr>
        <w:jc w:val="both"/>
        <w:rPr>
          <w:rtl/>
        </w:rPr>
      </w:pPr>
      <w:r w:rsidRPr="00D84D50">
        <w:rPr>
          <w:rFonts w:hint="cs"/>
          <w:highlight w:val="yellow"/>
          <w:rtl/>
        </w:rPr>
        <w:t>این بیان تمام نیست</w:t>
      </w:r>
      <w:r w:rsidR="003B103D">
        <w:rPr>
          <w:rFonts w:hint="cs"/>
          <w:rtl/>
        </w:rPr>
        <w:t>؛</w:t>
      </w:r>
      <w:r w:rsidRPr="00D84D50">
        <w:rPr>
          <w:rFonts w:hint="cs"/>
          <w:rtl/>
        </w:rPr>
        <w:t xml:space="preserve"> </w:t>
      </w:r>
      <w:r w:rsidR="003B103D">
        <w:rPr>
          <w:rFonts w:hint="cs"/>
          <w:rtl/>
        </w:rPr>
        <w:t>زیرا</w:t>
      </w:r>
      <w:r w:rsidRPr="00D84D50">
        <w:rPr>
          <w:rFonts w:hint="cs"/>
          <w:rtl/>
        </w:rPr>
        <w:t xml:space="preserve"> اگر مدعی علیه پاسخ مدعی را در محکمه دیگری داد و قاضی آن محکمه حکم کرد</w:t>
      </w:r>
      <w:r w:rsidR="003B103D">
        <w:rPr>
          <w:rFonts w:hint="cs"/>
          <w:rtl/>
        </w:rPr>
        <w:t>،</w:t>
      </w:r>
      <w:r w:rsidRPr="00D84D50">
        <w:rPr>
          <w:rFonts w:hint="cs"/>
          <w:rtl/>
        </w:rPr>
        <w:t xml:space="preserve"> حکم آن قاضی نافذ است و قاضی محکمه ای که مدعی در آن طرح دعوا کرده است</w:t>
      </w:r>
      <w:r w:rsidR="003B103D">
        <w:rPr>
          <w:rFonts w:hint="cs"/>
          <w:rtl/>
        </w:rPr>
        <w:t>،</w:t>
      </w:r>
      <w:r w:rsidRPr="00D84D50">
        <w:rPr>
          <w:rFonts w:hint="cs"/>
          <w:rtl/>
        </w:rPr>
        <w:t xml:space="preserve"> بعد از آن حق حکم کردن ندارد. بله ولایت تعیین قاضی با مدعی است به این معنا که اگر مدعی در محکمه ای اقامه دعوا کرد و آن قاضی حکم کرد</w:t>
      </w:r>
      <w:r w:rsidR="003B103D">
        <w:rPr>
          <w:rFonts w:hint="cs"/>
          <w:rtl/>
        </w:rPr>
        <w:t>،</w:t>
      </w:r>
      <w:r w:rsidRPr="00D84D50">
        <w:rPr>
          <w:rFonts w:hint="cs"/>
          <w:rtl/>
        </w:rPr>
        <w:t xml:space="preserve"> بعد از آن قاضی دیگری حق حکم کردن ندارد ولی اگر قاضی دیگر</w:t>
      </w:r>
      <w:r w:rsidR="003B103D">
        <w:rPr>
          <w:rFonts w:hint="cs"/>
          <w:rtl/>
        </w:rPr>
        <w:t>ی</w:t>
      </w:r>
      <w:r w:rsidRPr="00D84D50">
        <w:rPr>
          <w:rFonts w:hint="cs"/>
          <w:rtl/>
        </w:rPr>
        <w:t xml:space="preserve"> قبل از حکم او حکم کرد این قاضی دیگر نمی تواند حکم کند. </w:t>
      </w:r>
    </w:p>
    <w:p w14:paraId="28CA2064" w14:textId="77777777" w:rsidR="00D84D50" w:rsidRPr="00D54106" w:rsidRDefault="00D84D50" w:rsidP="00D84D50">
      <w:pPr>
        <w:pStyle w:val="Heading1"/>
        <w:rPr>
          <w:rtl/>
        </w:rPr>
      </w:pPr>
      <w:bookmarkStart w:id="7" w:name="_Toc31198000"/>
      <w:r w:rsidRPr="00D54106">
        <w:rPr>
          <w:rFonts w:hint="cs"/>
          <w:rtl/>
        </w:rPr>
        <w:t>کلام مرحوم سید در تعیین قاضی</w:t>
      </w:r>
      <w:bookmarkEnd w:id="7"/>
    </w:p>
    <w:p w14:paraId="6D495220" w14:textId="26AE8513" w:rsidR="00D84D50" w:rsidRPr="00D54106" w:rsidRDefault="00D84D50" w:rsidP="00914DCE">
      <w:pPr>
        <w:jc w:val="both"/>
        <w:rPr>
          <w:sz w:val="28"/>
          <w:rtl/>
        </w:rPr>
      </w:pPr>
      <w:r w:rsidRPr="00D54106">
        <w:rPr>
          <w:rFonts w:hint="cs"/>
          <w:sz w:val="28"/>
          <w:rtl/>
        </w:rPr>
        <w:t>مرحوم سید</w:t>
      </w:r>
      <w:r w:rsidR="00E4586F" w:rsidRPr="00E4586F">
        <w:rPr>
          <w:rFonts w:hint="cs"/>
          <w:sz w:val="28"/>
          <w:rtl/>
        </w:rPr>
        <w:t xml:space="preserve"> </w:t>
      </w:r>
      <w:r w:rsidR="00E4586F">
        <w:rPr>
          <w:rFonts w:hint="cs"/>
          <w:sz w:val="28"/>
          <w:rtl/>
        </w:rPr>
        <w:t>فرمود</w:t>
      </w:r>
      <w:r w:rsidRPr="00D54106">
        <w:rPr>
          <w:rFonts w:hint="cs"/>
          <w:sz w:val="28"/>
          <w:rtl/>
        </w:rPr>
        <w:t xml:space="preserve"> که احوط رجوع به قاضی اعلم است.</w:t>
      </w:r>
      <w:r w:rsidR="00E4586F">
        <w:rPr>
          <w:rStyle w:val="FootnoteReference"/>
          <w:sz w:val="28"/>
          <w:rtl/>
        </w:rPr>
        <w:footnoteReference w:id="3"/>
      </w:r>
      <w:r w:rsidRPr="00D54106">
        <w:rPr>
          <w:rFonts w:hint="cs"/>
          <w:sz w:val="28"/>
          <w:rtl/>
        </w:rPr>
        <w:t xml:space="preserve"> مرحوم خویی به ایشان اشکال کرد که این قول با اطلاق مقبوله عمر بن حنظله ناسازگار است. ظاهرا (</w:t>
      </w:r>
      <w:r w:rsidR="00914DCE">
        <w:rPr>
          <w:rFonts w:hint="cs"/>
          <w:sz w:val="28"/>
          <w:rtl/>
        </w:rPr>
        <w:t>با توجه به این</w:t>
      </w:r>
      <w:r w:rsidRPr="00D54106">
        <w:rPr>
          <w:rFonts w:hint="cs"/>
          <w:sz w:val="28"/>
          <w:rtl/>
        </w:rPr>
        <w:t>که ایشان متوجه اطلاق مقبوله بوده است) به نظر سید نتیجه این اطلاق این نیست که مدعی تعیین کننده قاضی باشد به این نحو که مدعی علیه ملزم به حضور در محکمه ای باشد که مدعی طرح دعوا کرده است. کلام سید این است که اگر بناست هر کدام حق رجوع به هر قاضی داشته باشند تعارض بین حکم دو قاضی پیش می آید. ایشان می فرماید اخس موارد را در نتیجه بگیرید چون نتیجه تابع اخس مقدمات است. توضیح کلام خواهد آمد ان</w:t>
      </w:r>
      <w:r w:rsidR="00914DCE">
        <w:rPr>
          <w:rFonts w:hint="cs"/>
          <w:sz w:val="28"/>
          <w:rtl/>
        </w:rPr>
        <w:t xml:space="preserve"> </w:t>
      </w:r>
      <w:r w:rsidRPr="00D54106">
        <w:rPr>
          <w:rFonts w:hint="cs"/>
          <w:sz w:val="28"/>
          <w:rtl/>
        </w:rPr>
        <w:t xml:space="preserve">شاء الله.   </w:t>
      </w:r>
    </w:p>
    <w:bookmarkEnd w:id="3"/>
    <w:p w14:paraId="072726EF"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760E3" w14:textId="77777777" w:rsidR="00A87F35" w:rsidRDefault="00A87F35" w:rsidP="008B750B">
      <w:pPr>
        <w:spacing w:line="240" w:lineRule="auto"/>
      </w:pPr>
      <w:r>
        <w:separator/>
      </w:r>
    </w:p>
  </w:endnote>
  <w:endnote w:type="continuationSeparator" w:id="0">
    <w:p w14:paraId="1A7941BB" w14:textId="77777777" w:rsidR="00A87F35" w:rsidRDefault="00A87F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B2"/>
    <w:family w:val="auto"/>
    <w:pitch w:val="variable"/>
    <w:sig w:usb0="00002001" w:usb1="00000000" w:usb2="00000000" w:usb3="00000000" w:csb0="00000040"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A9A2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12E092CF" w14:textId="77777777" w:rsidTr="0020241A">
      <w:tc>
        <w:tcPr>
          <w:tcW w:w="3382" w:type="dxa"/>
          <w:tcBorders>
            <w:top w:val="nil"/>
            <w:left w:val="nil"/>
            <w:bottom w:val="nil"/>
            <w:right w:val="nil"/>
          </w:tcBorders>
        </w:tcPr>
        <w:p w14:paraId="1ADBA01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699938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14DCE" w:rsidRPr="00914DCE">
            <w:rPr>
              <w:noProof/>
              <w:rtl/>
              <w:lang w:val="fa-IR"/>
            </w:rPr>
            <w:t>1</w:t>
          </w:r>
          <w:r>
            <w:rPr>
              <w:noProof/>
            </w:rPr>
            <w:fldChar w:fldCharType="end"/>
          </w:r>
        </w:p>
      </w:tc>
      <w:tc>
        <w:tcPr>
          <w:tcW w:w="4786" w:type="dxa"/>
          <w:tcBorders>
            <w:top w:val="nil"/>
            <w:left w:val="nil"/>
            <w:bottom w:val="nil"/>
            <w:right w:val="nil"/>
          </w:tcBorders>
          <w:vAlign w:val="center"/>
        </w:tcPr>
        <w:p w14:paraId="7CBDA7F0" w14:textId="77777777" w:rsidR="006D44C1" w:rsidRPr="006D44C1" w:rsidRDefault="00016B0B" w:rsidP="001B6799">
          <w:pPr>
            <w:pStyle w:val="Footer"/>
            <w:bidi w:val="0"/>
            <w:rPr>
              <w:color w:val="808080" w:themeColor="background1" w:themeShade="80"/>
              <w:rtl/>
            </w:rPr>
          </w:pPr>
          <w:bookmarkStart w:id="15" w:name="BokAdres"/>
          <w:bookmarkEnd w:id="15"/>
          <w:r>
            <w:rPr>
              <w:color w:val="808080" w:themeColor="background1" w:themeShade="80"/>
            </w:rPr>
            <w:t>F1mq1_13981106-065_mk4_mfeb.ir</w:t>
          </w:r>
        </w:p>
      </w:tc>
    </w:tr>
  </w:tbl>
  <w:p w14:paraId="4C6CC2F9"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6366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E44A" w14:textId="77777777" w:rsidR="00A87F35" w:rsidRDefault="00A87F35" w:rsidP="008B750B">
      <w:pPr>
        <w:spacing w:line="240" w:lineRule="auto"/>
      </w:pPr>
      <w:r>
        <w:separator/>
      </w:r>
    </w:p>
  </w:footnote>
  <w:footnote w:type="continuationSeparator" w:id="0">
    <w:p w14:paraId="4D3A3B42" w14:textId="77777777" w:rsidR="00A87F35" w:rsidRDefault="00A87F35" w:rsidP="008B750B">
      <w:pPr>
        <w:spacing w:line="240" w:lineRule="auto"/>
      </w:pPr>
      <w:r>
        <w:continuationSeparator/>
      </w:r>
    </w:p>
  </w:footnote>
  <w:footnote w:id="1">
    <w:p w14:paraId="201E78B2" w14:textId="150A8B84" w:rsidR="00D84D50" w:rsidRPr="00D84D50" w:rsidRDefault="00D84D50" w:rsidP="00D84D50">
      <w:pPr>
        <w:pStyle w:val="FootnoteText"/>
        <w:rPr>
          <w:rtl/>
        </w:rPr>
      </w:pPr>
      <w:r w:rsidRPr="00D84D50">
        <w:footnoteRef/>
      </w:r>
      <w:r w:rsidRPr="00D84D50">
        <w:rPr>
          <w:rtl/>
        </w:rPr>
        <w:t xml:space="preserve"> </w:t>
      </w:r>
      <w:hyperlink r:id="rId1" w:history="1">
        <w:r w:rsidRPr="00D84D50">
          <w:rPr>
            <w:rStyle w:val="Hyperlink"/>
            <w:rtl/>
          </w:rPr>
          <w:t>فقه الش</w:t>
        </w:r>
        <w:r w:rsidRPr="00D84D50">
          <w:rPr>
            <w:rStyle w:val="Hyperlink"/>
            <w:rFonts w:hint="cs"/>
            <w:rtl/>
          </w:rPr>
          <w:t>ی</w:t>
        </w:r>
        <w:r w:rsidRPr="00D84D50">
          <w:rPr>
            <w:rStyle w:val="Hyperlink"/>
            <w:rFonts w:hint="eastAsia"/>
            <w:rtl/>
          </w:rPr>
          <w:t>عه،</w:t>
        </w:r>
        <w:r w:rsidRPr="00D84D50">
          <w:rPr>
            <w:rStyle w:val="Hyperlink"/>
            <w:rtl/>
          </w:rPr>
          <w:t xml:space="preserve"> </w:t>
        </w:r>
        <w:r w:rsidRPr="00D84D50">
          <w:rPr>
            <w:rStyle w:val="Hyperlink"/>
            <w:rFonts w:ascii="Cambria" w:hAnsi="Cambria" w:cs="Cambria" w:hint="cs"/>
            <w:rtl/>
          </w:rPr>
          <w:t> </w:t>
        </w:r>
        <w:r w:rsidRPr="00D84D50">
          <w:rPr>
            <w:rStyle w:val="Hyperlink"/>
            <w:rFonts w:hint="cs"/>
            <w:rtl/>
          </w:rPr>
          <w:t>الموسوي</w:t>
        </w:r>
        <w:r w:rsidRPr="00D84D50">
          <w:rPr>
            <w:rStyle w:val="Hyperlink"/>
            <w:rtl/>
          </w:rPr>
          <w:t xml:space="preserve"> </w:t>
        </w:r>
        <w:r w:rsidRPr="00D84D50">
          <w:rPr>
            <w:rStyle w:val="Hyperlink"/>
            <w:rFonts w:hint="cs"/>
            <w:rtl/>
          </w:rPr>
          <w:t>الخلخالي،</w:t>
        </w:r>
        <w:r w:rsidRPr="00D84D50">
          <w:rPr>
            <w:rStyle w:val="Hyperlink"/>
            <w:rtl/>
          </w:rPr>
          <w:t xml:space="preserve"> </w:t>
        </w:r>
        <w:r w:rsidRPr="00D84D50">
          <w:rPr>
            <w:rStyle w:val="Hyperlink"/>
            <w:rFonts w:hint="cs"/>
            <w:rtl/>
          </w:rPr>
          <w:t>السيد</w:t>
        </w:r>
        <w:r w:rsidRPr="00D84D50">
          <w:rPr>
            <w:rStyle w:val="Hyperlink"/>
            <w:rtl/>
          </w:rPr>
          <w:t xml:space="preserve"> </w:t>
        </w:r>
        <w:r w:rsidRPr="00D84D50">
          <w:rPr>
            <w:rStyle w:val="Hyperlink"/>
            <w:rFonts w:hint="cs"/>
            <w:rtl/>
          </w:rPr>
          <w:t>محمد</w:t>
        </w:r>
        <w:r w:rsidRPr="00D84D50">
          <w:rPr>
            <w:rStyle w:val="Hyperlink"/>
            <w:rtl/>
          </w:rPr>
          <w:t xml:space="preserve"> </w:t>
        </w:r>
        <w:r w:rsidRPr="00D84D50">
          <w:rPr>
            <w:rStyle w:val="Hyperlink"/>
            <w:rFonts w:hint="cs"/>
            <w:rtl/>
          </w:rPr>
          <w:t>مهدي،</w:t>
        </w:r>
        <w:r w:rsidRPr="00D84D50">
          <w:rPr>
            <w:rStyle w:val="Hyperlink"/>
            <w:rtl/>
          </w:rPr>
          <w:t xml:space="preserve"> </w:t>
        </w:r>
        <w:r w:rsidRPr="00D84D50">
          <w:rPr>
            <w:rStyle w:val="Hyperlink"/>
            <w:rFonts w:hint="cs"/>
            <w:rtl/>
          </w:rPr>
          <w:t>ج</w:t>
        </w:r>
        <w:r w:rsidRPr="00D84D50">
          <w:rPr>
            <w:rStyle w:val="Hyperlink"/>
            <w:rtl/>
          </w:rPr>
          <w:t>7</w:t>
        </w:r>
        <w:r w:rsidRPr="00D84D50">
          <w:rPr>
            <w:rStyle w:val="Hyperlink"/>
            <w:rFonts w:hint="cs"/>
            <w:rtl/>
          </w:rPr>
          <w:t>،</w:t>
        </w:r>
        <w:r w:rsidRPr="00D84D50">
          <w:rPr>
            <w:rStyle w:val="Hyperlink"/>
            <w:rtl/>
          </w:rPr>
          <w:t xml:space="preserve"> </w:t>
        </w:r>
        <w:r w:rsidRPr="00D84D50">
          <w:rPr>
            <w:rStyle w:val="Hyperlink"/>
            <w:rFonts w:hint="cs"/>
            <w:rtl/>
          </w:rPr>
          <w:t>ص</w:t>
        </w:r>
        <w:r w:rsidRPr="00D84D50">
          <w:rPr>
            <w:rStyle w:val="Hyperlink"/>
            <w:rtl/>
          </w:rPr>
          <w:t>277.</w:t>
        </w:r>
      </w:hyperlink>
    </w:p>
  </w:footnote>
  <w:footnote w:id="2">
    <w:p w14:paraId="0AB2B52D" w14:textId="6F3218F6" w:rsidR="00D84D50" w:rsidRPr="00D84D50" w:rsidRDefault="00D84D50" w:rsidP="00D84D50">
      <w:pPr>
        <w:pStyle w:val="FootnoteText"/>
        <w:rPr>
          <w:rtl/>
        </w:rPr>
      </w:pPr>
      <w:r w:rsidRPr="00D84D50">
        <w:footnoteRef/>
      </w:r>
      <w:r w:rsidRPr="00D84D50">
        <w:rPr>
          <w:rtl/>
        </w:rPr>
        <w:t xml:space="preserve"> </w:t>
      </w:r>
      <w:r w:rsidRPr="00D84D50">
        <w:rPr>
          <w:rFonts w:hint="eastAsia"/>
          <w:rtl/>
        </w:rPr>
        <w:t>سوره</w:t>
      </w:r>
      <w:r w:rsidRPr="00D84D50">
        <w:rPr>
          <w:rtl/>
        </w:rPr>
        <w:t xml:space="preserve"> اسراء، آيه 93.</w:t>
      </w:r>
    </w:p>
  </w:footnote>
  <w:footnote w:id="3">
    <w:p w14:paraId="27220D60" w14:textId="741885E4" w:rsidR="00E4586F" w:rsidRPr="00D84D50" w:rsidRDefault="00E4586F" w:rsidP="00E4586F">
      <w:pPr>
        <w:pStyle w:val="FootnoteText"/>
      </w:pPr>
      <w:r w:rsidRPr="00D84D50">
        <w:footnoteRef/>
      </w:r>
      <w:r w:rsidRPr="00D84D50">
        <w:rPr>
          <w:rtl/>
        </w:rPr>
        <w:t xml:space="preserve"> </w:t>
      </w:r>
      <w:hyperlink r:id="rId2" w:history="1">
        <w:r w:rsidRPr="00D84D50">
          <w:rPr>
            <w:rStyle w:val="Hyperlink"/>
            <w:rtl/>
          </w:rPr>
          <w:t xml:space="preserve">العروة </w:t>
        </w:r>
        <w:r w:rsidRPr="00D84D50">
          <w:rPr>
            <w:rStyle w:val="Hyperlink"/>
            <w:rtl/>
          </w:rPr>
          <w:t>الوثق</w:t>
        </w:r>
        <w:r w:rsidRPr="00D84D50">
          <w:rPr>
            <w:rStyle w:val="Hyperlink"/>
            <w:rFonts w:hint="cs"/>
            <w:rtl/>
          </w:rPr>
          <w:t>ی</w:t>
        </w:r>
        <w:r w:rsidRPr="00D84D50">
          <w:rPr>
            <w:rStyle w:val="Hyperlink"/>
            <w:rFonts w:hint="eastAsia"/>
            <w:rtl/>
          </w:rPr>
          <w:t>،</w:t>
        </w:r>
        <w:r w:rsidRPr="00D84D50">
          <w:rPr>
            <w:rStyle w:val="Hyperlink"/>
            <w:rtl/>
          </w:rPr>
          <w:t xml:space="preserve"> الس</w:t>
        </w:r>
        <w:r w:rsidRPr="00D84D50">
          <w:rPr>
            <w:rStyle w:val="Hyperlink"/>
            <w:rFonts w:hint="cs"/>
            <w:rtl/>
          </w:rPr>
          <w:t>ی</w:t>
        </w:r>
        <w:r w:rsidRPr="00D84D50">
          <w:rPr>
            <w:rStyle w:val="Hyperlink"/>
            <w:rFonts w:hint="eastAsia"/>
            <w:rtl/>
          </w:rPr>
          <w:t>د</w:t>
        </w:r>
        <w:r w:rsidRPr="00D84D50">
          <w:rPr>
            <w:rStyle w:val="Hyperlink"/>
            <w:rtl/>
          </w:rPr>
          <w:t xml:space="preserve"> محمد کاظم الطباطبائ</w:t>
        </w:r>
        <w:r w:rsidRPr="00D84D50">
          <w:rPr>
            <w:rStyle w:val="Hyperlink"/>
            <w:rFonts w:hint="cs"/>
            <w:rtl/>
          </w:rPr>
          <w:t>ی</w:t>
        </w:r>
        <w:r w:rsidRPr="00D84D50">
          <w:rPr>
            <w:rStyle w:val="Hyperlink"/>
            <w:rtl/>
          </w:rPr>
          <w:t xml:space="preserve"> ال</w:t>
        </w:r>
        <w:r w:rsidRPr="00D84D50">
          <w:rPr>
            <w:rStyle w:val="Hyperlink"/>
            <w:rFonts w:hint="cs"/>
            <w:rtl/>
          </w:rPr>
          <w:t>ی</w:t>
        </w:r>
        <w:r w:rsidRPr="00D84D50">
          <w:rPr>
            <w:rStyle w:val="Hyperlink"/>
            <w:rFonts w:hint="eastAsia"/>
            <w:rtl/>
          </w:rPr>
          <w:t>زد</w:t>
        </w:r>
        <w:r w:rsidRPr="00D84D50">
          <w:rPr>
            <w:rStyle w:val="Hyperlink"/>
            <w:rFonts w:hint="cs"/>
            <w:rtl/>
          </w:rPr>
          <w:t>ی</w:t>
        </w:r>
        <w:r w:rsidRPr="00D84D50">
          <w:rPr>
            <w:rStyle w:val="Hyperlink"/>
            <w:rFonts w:hint="eastAsia"/>
            <w:rtl/>
          </w:rPr>
          <w:t>،</w:t>
        </w:r>
        <w:r w:rsidRPr="00D84D50">
          <w:rPr>
            <w:rStyle w:val="Hyperlink"/>
            <w:rtl/>
          </w:rPr>
          <w:t xml:space="preserve"> ج1، ص23.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09906"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F1745"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016B0B">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16B0B">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16B0B">
      <w:rPr>
        <w:b/>
        <w:bCs/>
        <w:color w:val="632423" w:themeColor="accent2" w:themeShade="80"/>
        <w:sz w:val="20"/>
        <w:szCs w:val="24"/>
        <w:rtl/>
      </w:rPr>
      <w:t>قائ</w:t>
    </w:r>
    <w:r w:rsidR="00016B0B">
      <w:rPr>
        <w:rFonts w:hint="cs"/>
        <w:b/>
        <w:bCs/>
        <w:color w:val="632423" w:themeColor="accent2" w:themeShade="80"/>
        <w:sz w:val="20"/>
        <w:szCs w:val="24"/>
        <w:rtl/>
      </w:rPr>
      <w:t>ی</w:t>
    </w:r>
    <w:r w:rsidR="00016B0B">
      <w:rPr>
        <w:rFonts w:hint="eastAsia"/>
        <w:b/>
        <w:bCs/>
        <w:color w:val="632423" w:themeColor="accent2" w:themeShade="80"/>
        <w:sz w:val="20"/>
        <w:szCs w:val="24"/>
        <w:rtl/>
      </w:rPr>
      <w:t>ن</w:t>
    </w:r>
    <w:r w:rsidR="00016B0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016B0B">
      <w:rPr>
        <w:sz w:val="24"/>
        <w:szCs w:val="24"/>
        <w:rtl/>
      </w:rPr>
      <w:t>6 /11 /1398</w:t>
    </w:r>
  </w:p>
  <w:p w14:paraId="0B4CB0D9"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016B0B">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016B0B">
      <w:rPr>
        <w:sz w:val="24"/>
        <w:szCs w:val="24"/>
        <w:rtl/>
      </w:rPr>
      <w:t>مهد</w:t>
    </w:r>
    <w:r w:rsidR="00016B0B">
      <w:rPr>
        <w:rFonts w:hint="cs"/>
        <w:sz w:val="24"/>
        <w:szCs w:val="24"/>
        <w:rtl/>
      </w:rPr>
      <w:t>ی</w:t>
    </w:r>
    <w:r w:rsidR="00016B0B">
      <w:rPr>
        <w:sz w:val="24"/>
        <w:szCs w:val="24"/>
        <w:rtl/>
      </w:rPr>
      <w:t xml:space="preserve"> خسروب</w:t>
    </w:r>
    <w:r w:rsidR="00016B0B">
      <w:rPr>
        <w:rFonts w:hint="cs"/>
        <w:sz w:val="24"/>
        <w:szCs w:val="24"/>
        <w:rtl/>
      </w:rPr>
      <w:t>ی</w:t>
    </w:r>
    <w:r w:rsidR="00016B0B">
      <w:rPr>
        <w:rFonts w:hint="eastAsia"/>
        <w:sz w:val="24"/>
        <w:szCs w:val="24"/>
        <w:rtl/>
      </w:rPr>
      <w:t>گ</w:t>
    </w:r>
    <w:r w:rsidR="00016B0B">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16B0B">
      <w:rPr>
        <w:sz w:val="24"/>
        <w:szCs w:val="24"/>
        <w:rtl/>
      </w:rPr>
      <w:t>ولا</w:t>
    </w:r>
    <w:r w:rsidR="00016B0B">
      <w:rPr>
        <w:rFonts w:hint="cs"/>
        <w:sz w:val="24"/>
        <w:szCs w:val="24"/>
        <w:rtl/>
      </w:rPr>
      <w:t>ی</w:t>
    </w:r>
    <w:r w:rsidR="00016B0B">
      <w:rPr>
        <w:rFonts w:hint="eastAsia"/>
        <w:sz w:val="24"/>
        <w:szCs w:val="24"/>
        <w:rtl/>
      </w:rPr>
      <w:t>ت</w:t>
    </w:r>
    <w:r w:rsidR="00016B0B">
      <w:rPr>
        <w:sz w:val="24"/>
        <w:szCs w:val="24"/>
        <w:rtl/>
      </w:rPr>
      <w:t xml:space="preserve"> تع</w:t>
    </w:r>
    <w:r w:rsidR="00016B0B">
      <w:rPr>
        <w:rFonts w:hint="cs"/>
        <w:sz w:val="24"/>
        <w:szCs w:val="24"/>
        <w:rtl/>
      </w:rPr>
      <w:t>یی</w:t>
    </w:r>
    <w:r w:rsidR="00016B0B">
      <w:rPr>
        <w:rFonts w:hint="eastAsia"/>
        <w:sz w:val="24"/>
        <w:szCs w:val="24"/>
        <w:rtl/>
      </w:rPr>
      <w:t>ن</w:t>
    </w:r>
    <w:r w:rsidR="00016B0B">
      <w:rPr>
        <w:sz w:val="24"/>
        <w:szCs w:val="24"/>
        <w:rtl/>
      </w:rPr>
      <w:t xml:space="preserve"> قاض</w:t>
    </w:r>
    <w:r w:rsidR="00016B0B">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C74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16B0B"/>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FC2"/>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103D"/>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5DAC"/>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7FD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4DCE"/>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519D"/>
    <w:rsid w:val="009F7E07"/>
    <w:rsid w:val="00A01522"/>
    <w:rsid w:val="00A10A11"/>
    <w:rsid w:val="00A13C6A"/>
    <w:rsid w:val="00A17B09"/>
    <w:rsid w:val="00A457C6"/>
    <w:rsid w:val="00A46AD0"/>
    <w:rsid w:val="00A47063"/>
    <w:rsid w:val="00A473A8"/>
    <w:rsid w:val="00A513F0"/>
    <w:rsid w:val="00A52CBA"/>
    <w:rsid w:val="00A61AC8"/>
    <w:rsid w:val="00A6366F"/>
    <w:rsid w:val="00A65D4C"/>
    <w:rsid w:val="00A70512"/>
    <w:rsid w:val="00A87F35"/>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2165"/>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4D50"/>
    <w:rsid w:val="00D922A9"/>
    <w:rsid w:val="00D9394A"/>
    <w:rsid w:val="00DB0CBB"/>
    <w:rsid w:val="00DB67CC"/>
    <w:rsid w:val="00DC3783"/>
    <w:rsid w:val="00DE1070"/>
    <w:rsid w:val="00E00219"/>
    <w:rsid w:val="00E0316B"/>
    <w:rsid w:val="00E25E10"/>
    <w:rsid w:val="00E4586F"/>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BC26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D84D50"/>
    <w:rPr>
      <w:color w:val="605E5C"/>
      <w:shd w:val="clear" w:color="auto" w:fill="E1DFDD"/>
    </w:rPr>
  </w:style>
  <w:style w:type="character" w:styleId="FollowedHyperlink">
    <w:name w:val="FollowedHyperlink"/>
    <w:basedOn w:val="DefaultParagraphFont"/>
    <w:uiPriority w:val="99"/>
    <w:semiHidden/>
    <w:unhideWhenUsed/>
    <w:rsid w:val="003B10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28/1/23/&#1575;&#1604;&#1605;&#1585;&#1575;&#1601;&#1593;&#1575;&#1578;" TargetMode="External"/><Relationship Id="rId1" Type="http://schemas.openxmlformats.org/officeDocument/2006/relationships/hyperlink" Target="http://lib.eshia.ir/71841/7/277/&#1575;&#1604;&#1605;&#1591;&#1575;&#1604;&#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3AC20-21D0-4184-A2E6-24BFCE9EB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2</Pages>
  <Words>508</Words>
  <Characters>2901</Characters>
  <Application>Microsoft Office Word</Application>
  <DocSecurity>0</DocSecurity>
  <Lines>24</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3403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2020-02-06T11:04:00Z</cp:lastPrinted>
  <dcterms:created xsi:type="dcterms:W3CDTF">2020-02-06T11:03:00Z</dcterms:created>
  <dcterms:modified xsi:type="dcterms:W3CDTF">2020-02-06T11:05:00Z</dcterms:modified>
  <cp:contentStatus>ویرایش 2.5</cp:contentStatus>
  <cp:version>2.7</cp:version>
</cp:coreProperties>
</file>