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8C6FA" w14:textId="77777777" w:rsidR="008B750B" w:rsidRPr="008A522A" w:rsidRDefault="00783473" w:rsidP="009C66D5">
      <w:pPr>
        <w:jc w:val="center"/>
        <w:rPr>
          <w:rtl/>
        </w:rPr>
      </w:pPr>
      <w:r>
        <w:rPr>
          <w:rFonts w:hint="cs"/>
          <w:noProof/>
          <w:rtl/>
        </w:rPr>
        <w:drawing>
          <wp:inline distT="0" distB="0" distL="0" distR="0" wp14:anchorId="67C8184C" wp14:editId="02590F8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44C0DF46" w14:textId="2BE1C999" w:rsidR="00E13BB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2844452" w:history="1">
        <w:r w:rsidR="00E13BB2" w:rsidRPr="00694CB2">
          <w:rPr>
            <w:rStyle w:val="Hyperlink"/>
            <w:noProof/>
            <w:rtl/>
          </w:rPr>
          <w:t>قضاء عل</w:t>
        </w:r>
        <w:r w:rsidR="00E13BB2" w:rsidRPr="00694CB2">
          <w:rPr>
            <w:rStyle w:val="Hyperlink"/>
            <w:rFonts w:hint="cs"/>
            <w:noProof/>
            <w:rtl/>
          </w:rPr>
          <w:t>ی</w:t>
        </w:r>
        <w:r w:rsidR="00E13BB2" w:rsidRPr="00694CB2">
          <w:rPr>
            <w:rStyle w:val="Hyperlink"/>
            <w:noProof/>
            <w:rtl/>
          </w:rPr>
          <w:t xml:space="preserve"> الغائب</w:t>
        </w:r>
        <w:r w:rsidR="00E13BB2">
          <w:rPr>
            <w:noProof/>
            <w:webHidden/>
            <w:rtl/>
          </w:rPr>
          <w:tab/>
        </w:r>
        <w:r w:rsidR="00E13BB2">
          <w:rPr>
            <w:noProof/>
            <w:webHidden/>
            <w:rtl/>
          </w:rPr>
          <w:fldChar w:fldCharType="begin"/>
        </w:r>
        <w:r w:rsidR="00E13BB2">
          <w:rPr>
            <w:noProof/>
            <w:webHidden/>
            <w:rtl/>
          </w:rPr>
          <w:instrText xml:space="preserve"> </w:instrText>
        </w:r>
        <w:r w:rsidR="00E13BB2">
          <w:rPr>
            <w:noProof/>
            <w:webHidden/>
          </w:rPr>
          <w:instrText>PAGEREF</w:instrText>
        </w:r>
        <w:r w:rsidR="00E13BB2">
          <w:rPr>
            <w:noProof/>
            <w:webHidden/>
            <w:rtl/>
          </w:rPr>
          <w:instrText xml:space="preserve"> _</w:instrText>
        </w:r>
        <w:r w:rsidR="00E13BB2">
          <w:rPr>
            <w:noProof/>
            <w:webHidden/>
          </w:rPr>
          <w:instrText>Toc</w:instrText>
        </w:r>
        <w:r w:rsidR="00E13BB2">
          <w:rPr>
            <w:noProof/>
            <w:webHidden/>
            <w:rtl/>
          </w:rPr>
          <w:instrText xml:space="preserve">32844452 </w:instrText>
        </w:r>
        <w:r w:rsidR="00E13BB2">
          <w:rPr>
            <w:noProof/>
            <w:webHidden/>
          </w:rPr>
          <w:instrText>\h</w:instrText>
        </w:r>
        <w:r w:rsidR="00E13BB2">
          <w:rPr>
            <w:noProof/>
            <w:webHidden/>
            <w:rtl/>
          </w:rPr>
          <w:instrText xml:space="preserve"> </w:instrText>
        </w:r>
        <w:r w:rsidR="00E13BB2">
          <w:rPr>
            <w:noProof/>
            <w:webHidden/>
            <w:rtl/>
          </w:rPr>
        </w:r>
        <w:r w:rsidR="00E13BB2">
          <w:rPr>
            <w:noProof/>
            <w:webHidden/>
            <w:rtl/>
          </w:rPr>
          <w:fldChar w:fldCharType="separate"/>
        </w:r>
        <w:r w:rsidR="0056408F">
          <w:rPr>
            <w:noProof/>
            <w:webHidden/>
            <w:rtl/>
          </w:rPr>
          <w:t>1</w:t>
        </w:r>
        <w:r w:rsidR="00E13BB2">
          <w:rPr>
            <w:noProof/>
            <w:webHidden/>
            <w:rtl/>
          </w:rPr>
          <w:fldChar w:fldCharType="end"/>
        </w:r>
      </w:hyperlink>
    </w:p>
    <w:p w14:paraId="36425087" w14:textId="70041CD2" w:rsidR="00E13BB2" w:rsidRDefault="006160F8">
      <w:pPr>
        <w:pStyle w:val="TOC1"/>
        <w:rPr>
          <w:rFonts w:asciiTheme="minorHAnsi" w:eastAsiaTheme="minorEastAsia" w:hAnsiTheme="minorHAnsi" w:cstheme="minorBidi"/>
          <w:noProof/>
          <w:color w:val="auto"/>
          <w:szCs w:val="22"/>
          <w:rtl/>
        </w:rPr>
      </w:pPr>
      <w:hyperlink w:anchor="_Toc32844453" w:history="1">
        <w:r w:rsidR="00E13BB2" w:rsidRPr="00694CB2">
          <w:rPr>
            <w:rStyle w:val="Hyperlink"/>
            <w:noProof/>
            <w:rtl/>
          </w:rPr>
          <w:t>رجوع به قرعه در فرض تداع</w:t>
        </w:r>
        <w:r w:rsidR="00E13BB2" w:rsidRPr="00694CB2">
          <w:rPr>
            <w:rStyle w:val="Hyperlink"/>
            <w:rFonts w:hint="cs"/>
            <w:noProof/>
            <w:rtl/>
          </w:rPr>
          <w:t>ی</w:t>
        </w:r>
        <w:r w:rsidR="00E13BB2">
          <w:rPr>
            <w:noProof/>
            <w:webHidden/>
            <w:rtl/>
          </w:rPr>
          <w:tab/>
        </w:r>
        <w:r w:rsidR="00E13BB2">
          <w:rPr>
            <w:noProof/>
            <w:webHidden/>
            <w:rtl/>
          </w:rPr>
          <w:fldChar w:fldCharType="begin"/>
        </w:r>
        <w:r w:rsidR="00E13BB2">
          <w:rPr>
            <w:noProof/>
            <w:webHidden/>
            <w:rtl/>
          </w:rPr>
          <w:instrText xml:space="preserve"> </w:instrText>
        </w:r>
        <w:r w:rsidR="00E13BB2">
          <w:rPr>
            <w:noProof/>
            <w:webHidden/>
          </w:rPr>
          <w:instrText>PAGEREF</w:instrText>
        </w:r>
        <w:r w:rsidR="00E13BB2">
          <w:rPr>
            <w:noProof/>
            <w:webHidden/>
            <w:rtl/>
          </w:rPr>
          <w:instrText xml:space="preserve"> _</w:instrText>
        </w:r>
        <w:r w:rsidR="00E13BB2">
          <w:rPr>
            <w:noProof/>
            <w:webHidden/>
          </w:rPr>
          <w:instrText>Toc</w:instrText>
        </w:r>
        <w:r w:rsidR="00E13BB2">
          <w:rPr>
            <w:noProof/>
            <w:webHidden/>
            <w:rtl/>
          </w:rPr>
          <w:instrText xml:space="preserve">32844453 </w:instrText>
        </w:r>
        <w:r w:rsidR="00E13BB2">
          <w:rPr>
            <w:noProof/>
            <w:webHidden/>
          </w:rPr>
          <w:instrText>\h</w:instrText>
        </w:r>
        <w:r w:rsidR="00E13BB2">
          <w:rPr>
            <w:noProof/>
            <w:webHidden/>
            <w:rtl/>
          </w:rPr>
          <w:instrText xml:space="preserve"> </w:instrText>
        </w:r>
        <w:r w:rsidR="00E13BB2">
          <w:rPr>
            <w:noProof/>
            <w:webHidden/>
            <w:rtl/>
          </w:rPr>
        </w:r>
        <w:r w:rsidR="00E13BB2">
          <w:rPr>
            <w:noProof/>
            <w:webHidden/>
            <w:rtl/>
          </w:rPr>
          <w:fldChar w:fldCharType="separate"/>
        </w:r>
        <w:r w:rsidR="0056408F">
          <w:rPr>
            <w:noProof/>
            <w:webHidden/>
            <w:rtl/>
          </w:rPr>
          <w:t>2</w:t>
        </w:r>
        <w:r w:rsidR="00E13BB2">
          <w:rPr>
            <w:noProof/>
            <w:webHidden/>
            <w:rtl/>
          </w:rPr>
          <w:fldChar w:fldCharType="end"/>
        </w:r>
      </w:hyperlink>
    </w:p>
    <w:p w14:paraId="5B76384A" w14:textId="29182B8D" w:rsidR="00C91EB6" w:rsidRPr="00C91EB6" w:rsidRDefault="00A01522" w:rsidP="00C91EB6">
      <w:r>
        <w:rPr>
          <w:rFonts w:cs="B Titr"/>
          <w:noProof/>
          <w:webHidden/>
          <w:color w:val="632423" w:themeColor="accent2" w:themeShade="80"/>
          <w:szCs w:val="24"/>
          <w:rtl/>
        </w:rPr>
        <w:fldChar w:fldCharType="end"/>
      </w:r>
    </w:p>
    <w:p w14:paraId="615A560F"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F3E58">
        <w:rPr>
          <w:rtl/>
        </w:rPr>
        <w:t>ولا</w:t>
      </w:r>
      <w:r w:rsidR="003F3E58">
        <w:rPr>
          <w:rFonts w:hint="cs"/>
          <w:rtl/>
        </w:rPr>
        <w:t>ی</w:t>
      </w:r>
      <w:r w:rsidR="003F3E58">
        <w:rPr>
          <w:rFonts w:hint="eastAsia"/>
          <w:rtl/>
        </w:rPr>
        <w:t>ت</w:t>
      </w:r>
      <w:r w:rsidR="003F3E58">
        <w:rPr>
          <w:rtl/>
        </w:rPr>
        <w:t xml:space="preserve"> بر تع</w:t>
      </w:r>
      <w:r w:rsidR="003F3E58">
        <w:rPr>
          <w:rFonts w:hint="cs"/>
          <w:rtl/>
        </w:rPr>
        <w:t>یی</w:t>
      </w:r>
      <w:r w:rsidR="003F3E58">
        <w:rPr>
          <w:rFonts w:hint="eastAsia"/>
          <w:rtl/>
        </w:rPr>
        <w:t>ن</w:t>
      </w:r>
      <w:r w:rsidR="003F3E58">
        <w:rPr>
          <w:rtl/>
        </w:rPr>
        <w:t xml:space="preserve"> قاض</w:t>
      </w:r>
      <w:r w:rsidR="003F3E58">
        <w:rPr>
          <w:rFonts w:hint="cs"/>
          <w:rtl/>
        </w:rPr>
        <w:t>ی</w:t>
      </w:r>
      <w:r w:rsidR="00025B70">
        <w:rPr>
          <w:rFonts w:hint="cs"/>
          <w:rtl/>
        </w:rPr>
        <w:t xml:space="preserve"> </w:t>
      </w:r>
      <w:r w:rsidR="00386C11" w:rsidRPr="00A6366F">
        <w:rPr>
          <w:rFonts w:hint="cs"/>
          <w:rtl/>
        </w:rPr>
        <w:t>/</w:t>
      </w:r>
      <w:bookmarkStart w:id="1" w:name="BokSabj_d"/>
      <w:bookmarkEnd w:id="1"/>
      <w:r w:rsidR="003F3E58">
        <w:rPr>
          <w:rtl/>
        </w:rPr>
        <w:t>القضا</w:t>
      </w:r>
      <w:r w:rsidR="00386C11" w:rsidRPr="00A6366F">
        <w:rPr>
          <w:rFonts w:hint="cs"/>
          <w:rtl/>
        </w:rPr>
        <w:t xml:space="preserve"> /</w:t>
      </w:r>
      <w:bookmarkStart w:id="2" w:name="Bokkolli"/>
      <w:bookmarkEnd w:id="2"/>
      <w:r w:rsidR="003F3E58">
        <w:rPr>
          <w:rtl/>
        </w:rPr>
        <w:t>کتاب القضا</w:t>
      </w:r>
      <w:r w:rsidR="001B6799" w:rsidRPr="00A6366F">
        <w:rPr>
          <w:rFonts w:hint="cs"/>
          <w:rtl/>
        </w:rPr>
        <w:t xml:space="preserve"> </w:t>
      </w:r>
    </w:p>
    <w:p w14:paraId="61A45BDB"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3DE00D9A" w14:textId="40BC2B1C" w:rsidR="00E13BB2" w:rsidRPr="00851BD5" w:rsidRDefault="00E13BB2" w:rsidP="00E13BB2">
      <w:pPr>
        <w:jc w:val="both"/>
        <w:rPr>
          <w:sz w:val="28"/>
          <w:rtl/>
        </w:rPr>
      </w:pPr>
      <w:r w:rsidRPr="00851BD5">
        <w:rPr>
          <w:rFonts w:hint="cs"/>
          <w:sz w:val="28"/>
          <w:rtl/>
        </w:rPr>
        <w:t xml:space="preserve">بحث ما در ولایت بر تعیین قاضی در فرض تداعی بود. مرحوم خویی و سید یزدی در تعیین ولایت قائل به قرعه شدند. کلامی </w:t>
      </w:r>
      <w:r w:rsidR="00F8440C">
        <w:rPr>
          <w:rFonts w:hint="cs"/>
          <w:sz w:val="28"/>
          <w:rtl/>
        </w:rPr>
        <w:t>نیز</w:t>
      </w:r>
      <w:r w:rsidRPr="00851BD5">
        <w:rPr>
          <w:rFonts w:hint="cs"/>
          <w:sz w:val="28"/>
          <w:rtl/>
        </w:rPr>
        <w:t xml:space="preserve"> از مرحوم نراقی بیان کردیم</w:t>
      </w:r>
      <w:r w:rsidR="00F8440C">
        <w:rPr>
          <w:rFonts w:hint="cs"/>
          <w:sz w:val="28"/>
          <w:rtl/>
        </w:rPr>
        <w:t>؛</w:t>
      </w:r>
      <w:r w:rsidRPr="00851BD5">
        <w:rPr>
          <w:rFonts w:hint="cs"/>
          <w:sz w:val="28"/>
          <w:rtl/>
        </w:rPr>
        <w:t xml:space="preserve"> ایشان فرمود در فرض تداعی اگر یکی از اشخاص زودتر طرح دعوا کرد و قاضی حکم کرد همان حکم نافذ است. مرحوم سید یزدی به ایشان اشکال کرد و فرمود قضاء علی الغائب مربوط به این فرض نیست بلکه مربوط به </w:t>
      </w:r>
      <w:r w:rsidR="00F8440C">
        <w:rPr>
          <w:rFonts w:hint="cs"/>
          <w:sz w:val="28"/>
          <w:rtl/>
        </w:rPr>
        <w:t>موردی</w:t>
      </w:r>
      <w:r w:rsidRPr="00851BD5">
        <w:rPr>
          <w:rFonts w:hint="cs"/>
          <w:sz w:val="28"/>
          <w:rtl/>
        </w:rPr>
        <w:t xml:space="preserve"> است که مدعی علیه در شهر دیگری باشد یا اینکه از حضور در </w:t>
      </w:r>
      <w:r w:rsidR="00F8440C">
        <w:rPr>
          <w:rFonts w:hint="cs"/>
          <w:sz w:val="28"/>
          <w:rtl/>
        </w:rPr>
        <w:t xml:space="preserve">هر </w:t>
      </w:r>
      <w:r w:rsidRPr="00851BD5">
        <w:rPr>
          <w:rFonts w:hint="cs"/>
          <w:sz w:val="28"/>
          <w:rtl/>
        </w:rPr>
        <w:t>دادگاه</w:t>
      </w:r>
      <w:r w:rsidR="00F8440C">
        <w:rPr>
          <w:rFonts w:hint="cs"/>
          <w:sz w:val="28"/>
          <w:rtl/>
        </w:rPr>
        <w:t>ی</w:t>
      </w:r>
      <w:r w:rsidRPr="00851BD5">
        <w:rPr>
          <w:rFonts w:hint="cs"/>
          <w:sz w:val="28"/>
          <w:rtl/>
        </w:rPr>
        <w:t xml:space="preserve"> خودداری کند</w:t>
      </w:r>
      <w:r w:rsidR="00F8440C">
        <w:rPr>
          <w:rFonts w:hint="cs"/>
          <w:sz w:val="28"/>
          <w:rtl/>
        </w:rPr>
        <w:t>،</w:t>
      </w:r>
      <w:r w:rsidRPr="00851BD5">
        <w:rPr>
          <w:rFonts w:hint="cs"/>
          <w:sz w:val="28"/>
          <w:rtl/>
        </w:rPr>
        <w:t xml:space="preserve"> ولی در موردی که در شهر وجود دارد و می گوید در این دادگاه حاضر نمی شوم ولی حاضرم در دادگاه دیگر حاضر شوم</w:t>
      </w:r>
      <w:r w:rsidR="00F8440C">
        <w:rPr>
          <w:rFonts w:hint="cs"/>
          <w:sz w:val="28"/>
          <w:rtl/>
        </w:rPr>
        <w:t>،</w:t>
      </w:r>
      <w:r w:rsidRPr="00851BD5">
        <w:rPr>
          <w:rFonts w:hint="cs"/>
          <w:sz w:val="28"/>
          <w:rtl/>
        </w:rPr>
        <w:t xml:space="preserve"> در این صورت قضاء علی الغائب نافذ نیست.</w:t>
      </w:r>
    </w:p>
    <w:p w14:paraId="57768FDB" w14:textId="77777777" w:rsidR="00E13BB2" w:rsidRPr="00851BD5" w:rsidRDefault="00E13BB2" w:rsidP="00E13BB2">
      <w:pPr>
        <w:pStyle w:val="Heading1"/>
        <w:rPr>
          <w:rtl/>
        </w:rPr>
      </w:pPr>
      <w:bookmarkStart w:id="3" w:name="_Toc32844452"/>
      <w:r w:rsidRPr="00851BD5">
        <w:rPr>
          <w:rFonts w:hint="cs"/>
          <w:rtl/>
        </w:rPr>
        <w:t>قضاء علی الغائب</w:t>
      </w:r>
      <w:bookmarkEnd w:id="3"/>
    </w:p>
    <w:p w14:paraId="7A79A643" w14:textId="463C22C1" w:rsidR="00E13BB2" w:rsidRPr="00851BD5" w:rsidRDefault="00E13BB2" w:rsidP="00E13BB2">
      <w:pPr>
        <w:jc w:val="both"/>
        <w:rPr>
          <w:sz w:val="28"/>
          <w:rtl/>
        </w:rPr>
      </w:pPr>
      <w:bookmarkStart w:id="4" w:name="_GoBack"/>
      <w:r w:rsidRPr="00851BD5">
        <w:rPr>
          <w:rFonts w:hint="cs"/>
          <w:sz w:val="28"/>
          <w:rtl/>
        </w:rPr>
        <w:t>دلیل سید یزدی بر این مدعا روایتی از شیخ در تهذیب است که در آن آمده است «</w:t>
      </w:r>
      <w:r w:rsidRPr="00E13BB2">
        <w:rPr>
          <w:rFonts w:ascii="Tahoma" w:hAnsi="Tahoma"/>
          <w:color w:val="008000"/>
          <w:sz w:val="28"/>
          <w:shd w:val="clear" w:color="auto" w:fill="FFFFFF"/>
          <w:rtl/>
        </w:rPr>
        <w:t>عَنْهُ عَنْ جَعْفَرِ بْنِ مُحَمَّدِ بْنِ إِبْرَاهِيمَ عَنْ عَبْدِ اللَّهِ بْنِ نَهِيكٍ عَنِ ابْنِ أَبِي عُمَيْرٍ عَنْ جَمِيلِ بْنِ دَرَّاجٍ عَنْ جَمَاعَةٍ مِنْ أَصْحَابِنَا عَنْهُمَا ع قَالا الْغَائِبُ يُقْضَى عَلَيْهِ إِذَا قَامَتْ عَلَيْهِ الْبَيِّنَةُ وَ يُبَاعُ مَالُهُ وَ يُقْضَى عَنْهُ دَيْنُهُ وَ هُوَ غَائِبٌ وَ يَكُونُ الْغَائِبُ عَلَى حُجَّتِهِ إِذَا قَدِمَ قَالَ وَ لَا يُدْفَعُ الْمَالُ إِلَى الَّذِي أَقَامَ الْبَيِّنَةَ إِلَّا بِكُفَلَاءَ</w:t>
      </w:r>
      <w:r w:rsidRPr="00851BD5">
        <w:rPr>
          <w:rFonts w:ascii="Tahoma" w:hAnsi="Tahoma"/>
          <w:sz w:val="28"/>
          <w:shd w:val="clear" w:color="auto" w:fill="FFFFFF"/>
          <w:rtl/>
        </w:rPr>
        <w:t>‌</w:t>
      </w:r>
      <w:r w:rsidRPr="00851BD5">
        <w:rPr>
          <w:rFonts w:hint="cs"/>
          <w:sz w:val="28"/>
          <w:rtl/>
        </w:rPr>
        <w:t>»</w:t>
      </w:r>
      <w:r>
        <w:rPr>
          <w:rStyle w:val="FootnoteReference"/>
          <w:sz w:val="28"/>
          <w:rtl/>
        </w:rPr>
        <w:footnoteReference w:id="1"/>
      </w:r>
    </w:p>
    <w:p w14:paraId="27EC5326" w14:textId="387B76E4" w:rsidR="00E13BB2" w:rsidRPr="00851BD5" w:rsidRDefault="00E13BB2" w:rsidP="00E13BB2">
      <w:pPr>
        <w:jc w:val="both"/>
        <w:rPr>
          <w:sz w:val="28"/>
          <w:rtl/>
        </w:rPr>
      </w:pPr>
      <w:r w:rsidRPr="00851BD5">
        <w:rPr>
          <w:rFonts w:hint="cs"/>
          <w:sz w:val="28"/>
          <w:rtl/>
        </w:rPr>
        <w:t xml:space="preserve">اشکال ما به سید این بود که قضاء علی الغائب اطلاقی نسبت به شبهات حکمیه ندارد. آن چیزی که در این روایت آمده این است که اگر بینه اقامه شد قاضی </w:t>
      </w:r>
      <w:r w:rsidR="00F8440C" w:rsidRPr="00851BD5">
        <w:rPr>
          <w:rFonts w:hint="cs"/>
          <w:sz w:val="28"/>
          <w:rtl/>
        </w:rPr>
        <w:t xml:space="preserve">می </w:t>
      </w:r>
      <w:r w:rsidR="00F8440C">
        <w:rPr>
          <w:sz w:val="28"/>
          <w:rtl/>
        </w:rPr>
        <w:softHyphen/>
      </w:r>
      <w:r w:rsidR="00F8440C">
        <w:rPr>
          <w:rFonts w:hint="cs"/>
          <w:sz w:val="28"/>
          <w:rtl/>
        </w:rPr>
        <w:t xml:space="preserve">تواند </w:t>
      </w:r>
      <w:r w:rsidRPr="00851BD5">
        <w:rPr>
          <w:rFonts w:hint="cs"/>
          <w:sz w:val="28"/>
          <w:rtl/>
        </w:rPr>
        <w:t>حکم کند و بینه مربوط به شبهات حکمیه نیست</w:t>
      </w:r>
      <w:r w:rsidR="00FA58DD">
        <w:rPr>
          <w:rFonts w:hint="cs"/>
          <w:sz w:val="28"/>
          <w:rtl/>
        </w:rPr>
        <w:t xml:space="preserve"> بلکه مربوط به </w:t>
      </w:r>
      <w:r w:rsidR="00FA58DD" w:rsidRPr="00851BD5">
        <w:rPr>
          <w:rFonts w:hint="cs"/>
          <w:sz w:val="28"/>
          <w:rtl/>
        </w:rPr>
        <w:t>شبهات موضوعیه</w:t>
      </w:r>
      <w:r w:rsidR="00FA58DD">
        <w:rPr>
          <w:rFonts w:hint="cs"/>
          <w:sz w:val="28"/>
          <w:rtl/>
        </w:rPr>
        <w:t xml:space="preserve"> است</w:t>
      </w:r>
      <w:r w:rsidRPr="00851BD5">
        <w:rPr>
          <w:rFonts w:hint="cs"/>
          <w:sz w:val="28"/>
          <w:rtl/>
        </w:rPr>
        <w:t xml:space="preserve">. البته مربوط به همه شبهات </w:t>
      </w:r>
      <w:r w:rsidR="00FA58DD">
        <w:rPr>
          <w:rFonts w:hint="cs"/>
          <w:sz w:val="28"/>
          <w:rtl/>
        </w:rPr>
        <w:t>هم</w:t>
      </w:r>
      <w:r w:rsidRPr="00851BD5">
        <w:rPr>
          <w:rFonts w:hint="cs"/>
          <w:sz w:val="28"/>
          <w:rtl/>
        </w:rPr>
        <w:t xml:space="preserve"> نیست بلکه مربوط به شبهات </w:t>
      </w:r>
      <w:r w:rsidR="00FA58DD" w:rsidRPr="00851BD5">
        <w:rPr>
          <w:rFonts w:hint="cs"/>
          <w:sz w:val="28"/>
          <w:rtl/>
        </w:rPr>
        <w:t>موضوعیه</w:t>
      </w:r>
      <w:r w:rsidR="00FA58DD">
        <w:rPr>
          <w:rFonts w:hint="cs"/>
          <w:sz w:val="28"/>
          <w:rtl/>
        </w:rPr>
        <w:t xml:space="preserve"> </w:t>
      </w:r>
      <w:r w:rsidRPr="00851BD5">
        <w:rPr>
          <w:rFonts w:hint="cs"/>
          <w:sz w:val="28"/>
          <w:rtl/>
        </w:rPr>
        <w:t>ای است که بینه قائم شده باشد</w:t>
      </w:r>
      <w:r w:rsidR="00FA58DD">
        <w:rPr>
          <w:rFonts w:hint="cs"/>
          <w:sz w:val="28"/>
          <w:rtl/>
        </w:rPr>
        <w:t>؛</w:t>
      </w:r>
      <w:r w:rsidRPr="00851BD5">
        <w:rPr>
          <w:rFonts w:hint="cs"/>
          <w:sz w:val="28"/>
          <w:rtl/>
        </w:rPr>
        <w:t xml:space="preserve"> پس اگر یک شاهد و یمین بود جایی برای حکم غیابی نیست. حکم علی الغائب بر خلاف اصل است و از این خلاف اصل </w:t>
      </w:r>
      <w:r w:rsidR="00FA58DD">
        <w:rPr>
          <w:rFonts w:hint="cs"/>
          <w:sz w:val="28"/>
          <w:rtl/>
        </w:rPr>
        <w:t xml:space="preserve">فقط </w:t>
      </w:r>
      <w:r w:rsidRPr="00851BD5">
        <w:rPr>
          <w:rFonts w:hint="cs"/>
          <w:sz w:val="28"/>
          <w:rtl/>
        </w:rPr>
        <w:t xml:space="preserve">به مقدار دلیل خارج می شویم و دلیل هم همین روایت است که مربوط به شبهات موضوعیه </w:t>
      </w:r>
      <w:r w:rsidR="00FA58DD">
        <w:rPr>
          <w:rFonts w:hint="cs"/>
          <w:sz w:val="28"/>
          <w:rtl/>
        </w:rPr>
        <w:t xml:space="preserve">و </w:t>
      </w:r>
      <w:r w:rsidRPr="00851BD5">
        <w:rPr>
          <w:rFonts w:hint="cs"/>
          <w:sz w:val="28"/>
          <w:rtl/>
        </w:rPr>
        <w:t xml:space="preserve">در فرض قیام بینه است. </w:t>
      </w:r>
    </w:p>
    <w:p w14:paraId="303EA78E" w14:textId="2E65E899" w:rsidR="00E13BB2" w:rsidRPr="00851BD5" w:rsidRDefault="00E13BB2" w:rsidP="00E13BB2">
      <w:pPr>
        <w:jc w:val="both"/>
        <w:rPr>
          <w:sz w:val="28"/>
          <w:rtl/>
        </w:rPr>
      </w:pPr>
      <w:r w:rsidRPr="00851BD5">
        <w:rPr>
          <w:rFonts w:hint="cs"/>
          <w:sz w:val="28"/>
          <w:rtl/>
        </w:rPr>
        <w:t>نکته دیگر اینکه این روایت فقط اختصاص به د</w:t>
      </w:r>
      <w:r w:rsidR="00F06699">
        <w:rPr>
          <w:rFonts w:hint="cs"/>
          <w:sz w:val="28"/>
          <w:rtl/>
        </w:rPr>
        <w:t>ِ</w:t>
      </w:r>
      <w:r w:rsidRPr="00851BD5">
        <w:rPr>
          <w:rFonts w:hint="cs"/>
          <w:sz w:val="28"/>
          <w:rtl/>
        </w:rPr>
        <w:t xml:space="preserve">ین دارد </w:t>
      </w:r>
      <w:r w:rsidR="00F06699">
        <w:rPr>
          <w:rFonts w:hint="cs"/>
          <w:sz w:val="28"/>
          <w:rtl/>
        </w:rPr>
        <w:t>و</w:t>
      </w:r>
      <w:r w:rsidRPr="00851BD5">
        <w:rPr>
          <w:rFonts w:hint="cs"/>
          <w:sz w:val="28"/>
          <w:rtl/>
        </w:rPr>
        <w:t xml:space="preserve"> نمی توان در امور دیگری مانند قصاص و دیه حکم بر غائب کرد. </w:t>
      </w:r>
    </w:p>
    <w:bookmarkEnd w:id="4"/>
    <w:p w14:paraId="6EAEC8C0" w14:textId="5449758E" w:rsidR="00E13BB2" w:rsidRPr="00851BD5" w:rsidRDefault="00E13BB2" w:rsidP="00E13BB2">
      <w:pPr>
        <w:jc w:val="both"/>
        <w:rPr>
          <w:sz w:val="28"/>
          <w:rtl/>
        </w:rPr>
      </w:pPr>
      <w:r w:rsidRPr="00851BD5">
        <w:rPr>
          <w:rFonts w:hint="cs"/>
          <w:sz w:val="28"/>
          <w:rtl/>
        </w:rPr>
        <w:lastRenderedPageBreak/>
        <w:t xml:space="preserve">اشکال دیگری که ممکن است بیان شود این است که اصلا این روایت مربوط به بحث قضا نیست </w:t>
      </w:r>
      <w:r w:rsidR="00F06699">
        <w:rPr>
          <w:rFonts w:hint="cs"/>
          <w:sz w:val="28"/>
          <w:rtl/>
        </w:rPr>
        <w:t>زیرا</w:t>
      </w:r>
      <w:r w:rsidRPr="00851BD5">
        <w:rPr>
          <w:rFonts w:hint="cs"/>
          <w:sz w:val="28"/>
          <w:rtl/>
        </w:rPr>
        <w:t xml:space="preserve"> همین روایت با سند دیگری در تهذیب و کتب دیگر آمده است که اختلاف نسخه مختصری با این روایت دارد</w:t>
      </w:r>
      <w:r w:rsidR="00F06699">
        <w:rPr>
          <w:rFonts w:hint="cs"/>
          <w:sz w:val="28"/>
          <w:rtl/>
        </w:rPr>
        <w:t>؛</w:t>
      </w:r>
      <w:r w:rsidRPr="00851BD5">
        <w:rPr>
          <w:rFonts w:hint="cs"/>
          <w:sz w:val="28"/>
          <w:rtl/>
        </w:rPr>
        <w:t xml:space="preserve"> در روایت محمد بن مسلم آمده است</w:t>
      </w:r>
      <w:r w:rsidR="00F06699">
        <w:rPr>
          <w:rFonts w:hint="cs"/>
          <w:sz w:val="28"/>
          <w:rtl/>
        </w:rPr>
        <w:t>:</w:t>
      </w:r>
      <w:r w:rsidRPr="00851BD5">
        <w:rPr>
          <w:rFonts w:hint="cs"/>
          <w:sz w:val="28"/>
          <w:rtl/>
        </w:rPr>
        <w:t xml:space="preserve"> «</w:t>
      </w:r>
      <w:r w:rsidRPr="00851BD5">
        <w:rPr>
          <w:rFonts w:ascii="Tahoma" w:hAnsi="Tahoma"/>
          <w:sz w:val="28"/>
          <w:shd w:val="clear" w:color="auto" w:fill="FFFFFF"/>
          <w:rtl/>
        </w:rPr>
        <w:t xml:space="preserve">أَحْمَدُ بْنُ مُحَمَّدٍ عَنْ عَلِيِّ بْنِ الْحَسَنِ عَنْ جَعْفَرِ بْنِ مُحَمَّدِ بْنِ حَكِيمٍ عَنْ جَمِيلِ بْنِ دَرَّاجٍ عَنْ مُحَمَّدِ بْنِ مُسْلِمٍ عَنْ أَبِي جَعْفَرٍ ع قَالَ </w:t>
      </w:r>
      <w:r w:rsidRPr="00E13BB2">
        <w:rPr>
          <w:rFonts w:ascii="Tahoma" w:hAnsi="Tahoma"/>
          <w:color w:val="008000"/>
          <w:sz w:val="28"/>
          <w:shd w:val="clear" w:color="auto" w:fill="FFFFFF"/>
          <w:rtl/>
        </w:rPr>
        <w:t>الْغَائِبُ يُقْضَى عَنْهُ إِذَا قَامَتِ الْبَيِّنَةُ عَلَيْهِ وَ يُبَاعُ مَالُهُ وَ يُقْضَى عَنْهُ وَ هُوَ غَائِبٌ وَ يَكُونُ الْغَائِبُ عَلَى حُجَّتِهِ إِذَا قَدِمَ وَ لَا يُدْفَعُ الْمَالُ إِلَى الَّذِي أَقَامَ الْبَيِّنَةَ إِلَّا بِكُفَلَاءَ إِذَا لَمْ يَكُنْ مَلِيّاً</w:t>
      </w:r>
      <w:r w:rsidRPr="00851BD5">
        <w:rPr>
          <w:rFonts w:hint="cs"/>
          <w:sz w:val="28"/>
          <w:rtl/>
        </w:rPr>
        <w:t>»</w:t>
      </w:r>
      <w:r w:rsidRPr="00851BD5">
        <w:rPr>
          <w:rStyle w:val="FootnoteReference"/>
          <w:sz w:val="28"/>
          <w:rtl/>
        </w:rPr>
        <w:footnoteReference w:id="2"/>
      </w:r>
      <w:r w:rsidRPr="00851BD5">
        <w:rPr>
          <w:rFonts w:hint="cs"/>
          <w:sz w:val="28"/>
          <w:rtl/>
        </w:rPr>
        <w:t xml:space="preserve"> در روایت قبلی آمده بود «</w:t>
      </w:r>
      <w:r w:rsidRPr="00F06699">
        <w:rPr>
          <w:rFonts w:ascii="Tahoma" w:hAnsi="Tahoma"/>
          <w:color w:val="008000"/>
          <w:sz w:val="28"/>
          <w:shd w:val="clear" w:color="auto" w:fill="FFFFFF"/>
          <w:rtl/>
        </w:rPr>
        <w:t>يُقْضَى عَلَيْهِ</w:t>
      </w:r>
      <w:r w:rsidRPr="00851BD5">
        <w:rPr>
          <w:rFonts w:hint="cs"/>
          <w:sz w:val="28"/>
          <w:rtl/>
        </w:rPr>
        <w:t xml:space="preserve">» </w:t>
      </w:r>
      <w:r w:rsidR="00F06699">
        <w:rPr>
          <w:rFonts w:hint="cs"/>
          <w:sz w:val="28"/>
          <w:rtl/>
        </w:rPr>
        <w:t>اما</w:t>
      </w:r>
      <w:r w:rsidRPr="00851BD5">
        <w:rPr>
          <w:rFonts w:hint="cs"/>
          <w:sz w:val="28"/>
          <w:rtl/>
        </w:rPr>
        <w:t xml:space="preserve"> در این روایت آمده است «</w:t>
      </w:r>
      <w:r w:rsidRPr="00F06699">
        <w:rPr>
          <w:rFonts w:ascii="Tahoma" w:hAnsi="Tahoma"/>
          <w:color w:val="008000"/>
          <w:sz w:val="28"/>
          <w:shd w:val="clear" w:color="auto" w:fill="FFFFFF"/>
          <w:rtl/>
        </w:rPr>
        <w:t>يُقْضَى عَنْهُ</w:t>
      </w:r>
      <w:r w:rsidRPr="00851BD5">
        <w:rPr>
          <w:rFonts w:hint="cs"/>
          <w:sz w:val="28"/>
          <w:rtl/>
        </w:rPr>
        <w:t>»</w:t>
      </w:r>
      <w:r w:rsidR="00F06699">
        <w:rPr>
          <w:rFonts w:hint="cs"/>
          <w:sz w:val="28"/>
          <w:rtl/>
        </w:rPr>
        <w:t>.</w:t>
      </w:r>
      <w:r w:rsidRPr="00851BD5">
        <w:rPr>
          <w:rFonts w:hint="cs"/>
          <w:sz w:val="28"/>
          <w:rtl/>
        </w:rPr>
        <w:t xml:space="preserve"> با توجه به اینکه روایت محمد بن مسلم در دیگر کتب نیز آمده است اگر این نسخه صحیح باشد مربوط به بحث قضا نیست و مضمون روایت این است که اگر شخصی غائب بود و شخص دیگری ادعای طلبکاری داشت و برای این ادعا بینه </w:t>
      </w:r>
      <w:r w:rsidR="00F06699">
        <w:rPr>
          <w:rFonts w:hint="cs"/>
          <w:sz w:val="28"/>
          <w:rtl/>
        </w:rPr>
        <w:t>آورد،</w:t>
      </w:r>
      <w:r w:rsidRPr="00851BD5">
        <w:rPr>
          <w:rFonts w:hint="cs"/>
          <w:sz w:val="28"/>
          <w:rtl/>
        </w:rPr>
        <w:t xml:space="preserve"> باید از اموال شخص غائب بدهی او را بدهند و بعد از اینکه شخص غائب برگشت و مخالفت کرد می تواند بینه او را ابطال کند. مضمون این روایت مانند بحث تقاص است که اگر شخصی از دیگری طلبی دارد و او با وجود توانایی مالی از پرداخت طلب خودداری می کند طلبکار می تواند به میزان طلب خود </w:t>
      </w:r>
      <w:r w:rsidR="00F06699" w:rsidRPr="00851BD5">
        <w:rPr>
          <w:rFonts w:hint="cs"/>
          <w:sz w:val="28"/>
          <w:rtl/>
        </w:rPr>
        <w:t xml:space="preserve">به نحوی از مال </w:t>
      </w:r>
      <w:r w:rsidRPr="00851BD5">
        <w:rPr>
          <w:rFonts w:hint="cs"/>
          <w:sz w:val="28"/>
          <w:rtl/>
        </w:rPr>
        <w:t xml:space="preserve">شخص بدهکار بردارد. این تقاص منوط به حکم قاضی نیست </w:t>
      </w:r>
      <w:r w:rsidR="00F06699">
        <w:rPr>
          <w:rFonts w:hint="cs"/>
          <w:sz w:val="28"/>
          <w:rtl/>
        </w:rPr>
        <w:t xml:space="preserve">چنانکه </w:t>
      </w:r>
      <w:r w:rsidRPr="00851BD5">
        <w:rPr>
          <w:rFonts w:hint="cs"/>
          <w:sz w:val="28"/>
          <w:rtl/>
        </w:rPr>
        <w:t>فرض روایت محمد بن مسلم</w:t>
      </w:r>
      <w:r w:rsidR="00F06699">
        <w:rPr>
          <w:rFonts w:hint="cs"/>
          <w:sz w:val="28"/>
          <w:rtl/>
        </w:rPr>
        <w:t xml:space="preserve"> نیز همین است</w:t>
      </w:r>
      <w:r w:rsidRPr="00851BD5">
        <w:rPr>
          <w:rFonts w:hint="cs"/>
          <w:sz w:val="28"/>
          <w:rtl/>
        </w:rPr>
        <w:t xml:space="preserve">. </w:t>
      </w:r>
    </w:p>
    <w:p w14:paraId="4258699B" w14:textId="44D8CE56" w:rsidR="00E13BB2" w:rsidRPr="00851BD5" w:rsidRDefault="00296C3C" w:rsidP="00E13BB2">
      <w:pPr>
        <w:pStyle w:val="NormalWeb"/>
        <w:bidi/>
        <w:jc w:val="both"/>
        <w:rPr>
          <w:rFonts w:ascii="Traditional Arabic" w:hAnsi="Traditional Arabic" w:cs="B Badr"/>
          <w:sz w:val="28"/>
          <w:szCs w:val="28"/>
          <w:rtl/>
        </w:rPr>
      </w:pPr>
      <w:r>
        <w:rPr>
          <w:rFonts w:cs="B Badr" w:hint="cs"/>
          <w:sz w:val="28"/>
          <w:szCs w:val="28"/>
          <w:rtl/>
        </w:rPr>
        <w:t xml:space="preserve">علاوه بر این </w:t>
      </w:r>
      <w:r w:rsidR="00E13BB2" w:rsidRPr="00851BD5">
        <w:rPr>
          <w:rFonts w:cs="B Badr" w:hint="cs"/>
          <w:sz w:val="28"/>
          <w:szCs w:val="28"/>
          <w:rtl/>
        </w:rPr>
        <w:t>روایت</w:t>
      </w:r>
      <w:r>
        <w:rPr>
          <w:rFonts w:cs="B Badr" w:hint="cs"/>
          <w:sz w:val="28"/>
          <w:szCs w:val="28"/>
          <w:rtl/>
        </w:rPr>
        <w:t xml:space="preserve"> دیگر</w:t>
      </w:r>
      <w:r w:rsidR="00E13BB2" w:rsidRPr="00851BD5">
        <w:rPr>
          <w:rFonts w:cs="B Badr" w:hint="cs"/>
          <w:sz w:val="28"/>
          <w:szCs w:val="28"/>
          <w:rtl/>
        </w:rPr>
        <w:t>ی در مقام وجود دارد</w:t>
      </w:r>
      <w:r>
        <w:rPr>
          <w:rFonts w:cs="B Badr" w:hint="cs"/>
          <w:sz w:val="28"/>
          <w:szCs w:val="28"/>
          <w:rtl/>
        </w:rPr>
        <w:t xml:space="preserve"> </w:t>
      </w:r>
      <w:r w:rsidR="00E13BB2" w:rsidRPr="00851BD5">
        <w:rPr>
          <w:rFonts w:cs="B Badr" w:hint="cs"/>
          <w:sz w:val="28"/>
          <w:szCs w:val="28"/>
          <w:rtl/>
        </w:rPr>
        <w:t>که قضای غیابی را نفی می کند و از ادله اشتراط حضور متخاصمین در دادگاه است</w:t>
      </w:r>
      <w:r>
        <w:rPr>
          <w:rFonts w:cs="B Badr" w:hint="cs"/>
          <w:sz w:val="28"/>
          <w:szCs w:val="28"/>
          <w:rtl/>
        </w:rPr>
        <w:t xml:space="preserve">؛ البته </w:t>
      </w:r>
      <w:r w:rsidR="00E13BB2" w:rsidRPr="00851BD5">
        <w:rPr>
          <w:rFonts w:cs="B Badr" w:hint="cs"/>
          <w:sz w:val="28"/>
          <w:szCs w:val="28"/>
          <w:rtl/>
        </w:rPr>
        <w:t>سند آن ضعیف است. در این روایت آمده است</w:t>
      </w:r>
      <w:r>
        <w:rPr>
          <w:rFonts w:cs="B Badr" w:hint="cs"/>
          <w:sz w:val="28"/>
          <w:szCs w:val="28"/>
          <w:rtl/>
        </w:rPr>
        <w:t>:</w:t>
      </w:r>
      <w:r w:rsidR="00E13BB2" w:rsidRPr="00851BD5">
        <w:rPr>
          <w:rFonts w:cs="B Badr" w:hint="cs"/>
          <w:sz w:val="28"/>
          <w:szCs w:val="28"/>
          <w:rtl/>
        </w:rPr>
        <w:t xml:space="preserve"> «</w:t>
      </w:r>
      <w:r w:rsidR="00E13BB2" w:rsidRPr="00851BD5">
        <w:rPr>
          <w:rFonts w:ascii="Traditional Arabic" w:hAnsi="Traditional Arabic" w:cs="B Badr" w:hint="cs"/>
          <w:sz w:val="28"/>
          <w:szCs w:val="28"/>
          <w:rtl/>
        </w:rPr>
        <w:t>عَبْدُ اللَّهِ بْنُ جَعْفَرٍ فِي قُرْبِ الْإِسْنَادِ عَنِ السِّنْدِيِّ بْنِ مُحَمَّدٍ عَنْ أَبِي الْبَخْتَرِيِّ عَنْ جَعْفَرٍ عَنْ أَبِيهِ عَنْ عَلِيٍّ ع قَالَ:</w:t>
      </w:r>
      <w:r w:rsidR="00E13BB2" w:rsidRPr="00851BD5">
        <w:rPr>
          <w:rFonts w:ascii="Noor_Lotus" w:hAnsi="Noor_Lotus" w:cs="B Badr" w:hint="cs"/>
          <w:sz w:val="28"/>
          <w:szCs w:val="28"/>
          <w:rtl/>
        </w:rPr>
        <w:t xml:space="preserve"> </w:t>
      </w:r>
      <w:r w:rsidR="00E13BB2" w:rsidRPr="00E13BB2">
        <w:rPr>
          <w:rFonts w:ascii="Noor_Lotus" w:hAnsi="Noor_Lotus" w:cs="B Badr" w:hint="cs"/>
          <w:color w:val="008000"/>
          <w:sz w:val="28"/>
          <w:szCs w:val="28"/>
          <w:rtl/>
        </w:rPr>
        <w:t>لَا يُقْضَى عَلَى غَائِبٍ</w:t>
      </w:r>
      <w:r w:rsidR="00E13BB2" w:rsidRPr="00851BD5">
        <w:rPr>
          <w:rFonts w:cs="B Badr" w:hint="cs"/>
          <w:sz w:val="28"/>
          <w:szCs w:val="28"/>
          <w:rtl/>
        </w:rPr>
        <w:t>»</w:t>
      </w:r>
      <w:r w:rsidR="00E13BB2">
        <w:rPr>
          <w:rStyle w:val="FootnoteReference"/>
          <w:rFonts w:ascii="Traditional Arabic" w:hAnsi="Traditional Arabic" w:cs="B Badr"/>
          <w:sz w:val="28"/>
          <w:szCs w:val="28"/>
          <w:rtl/>
        </w:rPr>
        <w:footnoteReference w:id="3"/>
      </w:r>
    </w:p>
    <w:p w14:paraId="54D842E3" w14:textId="77777777" w:rsidR="00E13BB2" w:rsidRPr="00851BD5" w:rsidRDefault="00E13BB2" w:rsidP="00E13BB2">
      <w:pPr>
        <w:pStyle w:val="Heading1"/>
        <w:rPr>
          <w:rtl/>
        </w:rPr>
      </w:pPr>
      <w:bookmarkStart w:id="5" w:name="_Toc32844453"/>
      <w:r w:rsidRPr="00851BD5">
        <w:rPr>
          <w:rFonts w:hint="cs"/>
          <w:rtl/>
        </w:rPr>
        <w:t>رجوع به قرعه در فرض تداعی</w:t>
      </w:r>
      <w:bookmarkEnd w:id="5"/>
    </w:p>
    <w:p w14:paraId="2DD1E197" w14:textId="00A3DF21" w:rsidR="001A1EA5" w:rsidRPr="00E13BB2" w:rsidRDefault="00E13BB2" w:rsidP="0076759E">
      <w:pPr>
        <w:pStyle w:val="NormalWeb"/>
        <w:bidi/>
        <w:jc w:val="both"/>
        <w:rPr>
          <w:rFonts w:ascii="Traditional Arabic" w:hAnsi="Traditional Arabic" w:cs="Traditional Arabic"/>
          <w:color w:val="242887"/>
          <w:sz w:val="30"/>
          <w:szCs w:val="30"/>
          <w:rtl/>
        </w:rPr>
      </w:pPr>
      <w:r w:rsidRPr="00851BD5">
        <w:rPr>
          <w:rFonts w:cs="B Badr" w:hint="cs"/>
          <w:sz w:val="28"/>
          <w:szCs w:val="28"/>
          <w:rtl/>
        </w:rPr>
        <w:t xml:space="preserve">اگر </w:t>
      </w:r>
      <w:r w:rsidR="0076759E" w:rsidRPr="00851BD5">
        <w:rPr>
          <w:rFonts w:cs="B Badr" w:hint="cs"/>
          <w:sz w:val="28"/>
          <w:szCs w:val="28"/>
          <w:rtl/>
        </w:rPr>
        <w:t xml:space="preserve">برای تعیین قاضی </w:t>
      </w:r>
      <w:r w:rsidRPr="00851BD5">
        <w:rPr>
          <w:rFonts w:cs="B Badr" w:hint="cs"/>
          <w:sz w:val="28"/>
          <w:szCs w:val="28"/>
          <w:rtl/>
        </w:rPr>
        <w:t xml:space="preserve">تعینی برای یکی از متداعیین نبود به قرعه رجوع می کنیم. در مورد قرعه </w:t>
      </w:r>
      <w:r w:rsidR="0076759E" w:rsidRPr="00851BD5">
        <w:rPr>
          <w:rFonts w:cs="B Badr" w:hint="cs"/>
          <w:sz w:val="28"/>
          <w:szCs w:val="28"/>
          <w:rtl/>
        </w:rPr>
        <w:t xml:space="preserve">فقط </w:t>
      </w:r>
      <w:r w:rsidRPr="00851BD5">
        <w:rPr>
          <w:rFonts w:cs="B Badr" w:hint="cs"/>
          <w:sz w:val="28"/>
          <w:szCs w:val="28"/>
          <w:rtl/>
        </w:rPr>
        <w:t>در کلمات فقها آمده است</w:t>
      </w:r>
      <w:r w:rsidR="0076759E">
        <w:rPr>
          <w:rFonts w:cs="B Badr" w:hint="cs"/>
          <w:sz w:val="28"/>
          <w:szCs w:val="28"/>
          <w:rtl/>
        </w:rPr>
        <w:t>:</w:t>
      </w:r>
      <w:r w:rsidRPr="00851BD5">
        <w:rPr>
          <w:rFonts w:cs="B Badr" w:hint="cs"/>
          <w:sz w:val="28"/>
          <w:szCs w:val="28"/>
          <w:rtl/>
        </w:rPr>
        <w:t xml:space="preserve"> «</w:t>
      </w:r>
      <w:r w:rsidRPr="00E13BB2">
        <w:rPr>
          <w:rFonts w:cs="B Badr" w:hint="cs"/>
          <w:color w:val="000080"/>
          <w:sz w:val="28"/>
          <w:szCs w:val="28"/>
          <w:rtl/>
        </w:rPr>
        <w:t>القرعة لکل امر مشکل</w:t>
      </w:r>
      <w:r w:rsidRPr="00851BD5">
        <w:rPr>
          <w:rFonts w:cs="B Badr" w:hint="cs"/>
          <w:sz w:val="28"/>
          <w:szCs w:val="28"/>
          <w:rtl/>
        </w:rPr>
        <w:t xml:space="preserve">» و این عبارت برگرفته شده از روایات است </w:t>
      </w:r>
      <w:r w:rsidR="0076759E">
        <w:rPr>
          <w:rFonts w:cs="B Badr" w:hint="cs"/>
          <w:sz w:val="28"/>
          <w:szCs w:val="28"/>
          <w:rtl/>
        </w:rPr>
        <w:t>اما</w:t>
      </w:r>
      <w:r w:rsidRPr="00851BD5">
        <w:rPr>
          <w:rFonts w:cs="B Badr" w:hint="cs"/>
          <w:sz w:val="28"/>
          <w:szCs w:val="28"/>
          <w:rtl/>
        </w:rPr>
        <w:t xml:space="preserve"> روایت نیست</w:t>
      </w:r>
      <w:r w:rsidR="0076759E">
        <w:rPr>
          <w:rFonts w:cs="B Badr" w:hint="cs"/>
          <w:sz w:val="28"/>
          <w:szCs w:val="28"/>
          <w:rtl/>
        </w:rPr>
        <w:t>؛</w:t>
      </w:r>
      <w:r w:rsidRPr="00851BD5">
        <w:rPr>
          <w:rFonts w:cs="B Badr" w:hint="cs"/>
          <w:sz w:val="28"/>
          <w:szCs w:val="28"/>
          <w:rtl/>
        </w:rPr>
        <w:t xml:space="preserve"> آن چیزی که در روایات داریم این تعبیر است</w:t>
      </w:r>
      <w:r w:rsidR="0076759E">
        <w:rPr>
          <w:rFonts w:cs="B Badr" w:hint="cs"/>
          <w:sz w:val="28"/>
          <w:szCs w:val="28"/>
          <w:rtl/>
        </w:rPr>
        <w:t>:</w:t>
      </w:r>
      <w:r w:rsidRPr="00851BD5">
        <w:rPr>
          <w:rFonts w:cs="B Badr" w:hint="cs"/>
          <w:sz w:val="28"/>
          <w:szCs w:val="28"/>
          <w:rtl/>
        </w:rPr>
        <w:t xml:space="preserve"> «</w:t>
      </w:r>
      <w:r>
        <w:rPr>
          <w:rFonts w:ascii="Traditional Arabic" w:hAnsi="Traditional Arabic" w:cs="Traditional Arabic" w:hint="cs"/>
          <w:color w:val="008000"/>
          <w:sz w:val="30"/>
          <w:szCs w:val="30"/>
          <w:rtl/>
        </w:rPr>
        <w:t>ک</w:t>
      </w:r>
      <w:r w:rsidRPr="00E13BB2">
        <w:rPr>
          <w:rFonts w:ascii="Traditional Arabic" w:hAnsi="Traditional Arabic" w:cs="Traditional Arabic" w:hint="cs"/>
          <w:color w:val="008000"/>
          <w:sz w:val="30"/>
          <w:szCs w:val="30"/>
          <w:rtl/>
        </w:rPr>
        <w:t>لُّ مَجْهُولٍ‏ فَفِيهِ الْقُرْعَة</w:t>
      </w:r>
      <w:r w:rsidRPr="00851BD5">
        <w:rPr>
          <w:rFonts w:cs="B Badr" w:hint="cs"/>
          <w:sz w:val="28"/>
          <w:szCs w:val="28"/>
          <w:rtl/>
        </w:rPr>
        <w:t>»</w:t>
      </w:r>
      <w:r>
        <w:rPr>
          <w:rStyle w:val="FootnoteReference"/>
          <w:rFonts w:cs="B Badr"/>
          <w:sz w:val="28"/>
          <w:szCs w:val="28"/>
          <w:rtl/>
        </w:rPr>
        <w:footnoteReference w:id="4"/>
      </w:r>
      <w:r w:rsidR="0076759E">
        <w:rPr>
          <w:rFonts w:cs="B Badr" w:hint="cs"/>
          <w:sz w:val="28"/>
          <w:szCs w:val="28"/>
          <w:rtl/>
        </w:rPr>
        <w:t>.</w:t>
      </w:r>
      <w:r w:rsidRPr="00851BD5">
        <w:rPr>
          <w:rFonts w:cs="B Badr" w:hint="cs"/>
          <w:sz w:val="28"/>
          <w:szCs w:val="28"/>
          <w:rtl/>
        </w:rPr>
        <w:t xml:space="preserve"> اگر این تعبیر باشد ممکن است </w:t>
      </w:r>
      <w:r w:rsidR="005D471F">
        <w:rPr>
          <w:rFonts w:cs="B Badr" w:hint="cs"/>
          <w:sz w:val="28"/>
          <w:szCs w:val="28"/>
          <w:rtl/>
        </w:rPr>
        <w:t>اشکال شود که</w:t>
      </w:r>
      <w:r w:rsidRPr="00851BD5">
        <w:rPr>
          <w:rFonts w:cs="B Badr" w:hint="cs"/>
          <w:sz w:val="28"/>
          <w:szCs w:val="28"/>
          <w:rtl/>
        </w:rPr>
        <w:t xml:space="preserve"> قرعه مربوط به جایی است که تعین واقعی داشته باشیم </w:t>
      </w:r>
      <w:r w:rsidR="005D471F">
        <w:rPr>
          <w:rFonts w:cs="B Badr" w:hint="cs"/>
          <w:sz w:val="28"/>
          <w:szCs w:val="28"/>
          <w:rtl/>
        </w:rPr>
        <w:t>زیرا</w:t>
      </w:r>
      <w:r w:rsidRPr="00851BD5">
        <w:rPr>
          <w:rFonts w:cs="B Badr" w:hint="cs"/>
          <w:sz w:val="28"/>
          <w:szCs w:val="28"/>
          <w:rtl/>
        </w:rPr>
        <w:t xml:space="preserve"> مجهول جایی صدق می کند که واقع متعینی وجود دارد</w:t>
      </w:r>
      <w:r w:rsidR="005D471F">
        <w:rPr>
          <w:rFonts w:cs="B Badr" w:hint="cs"/>
          <w:sz w:val="28"/>
          <w:szCs w:val="28"/>
          <w:rtl/>
        </w:rPr>
        <w:t>،</w:t>
      </w:r>
      <w:r w:rsidRPr="00851BD5">
        <w:rPr>
          <w:rFonts w:cs="B Badr" w:hint="cs"/>
          <w:sz w:val="28"/>
          <w:szCs w:val="28"/>
          <w:rtl/>
        </w:rPr>
        <w:t xml:space="preserve"> ولی در اینجا هیچ تعینی ندارد.</w:t>
      </w:r>
    </w:p>
    <w:sectPr w:rsidR="001A1EA5" w:rsidRPr="00E13BB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66B16" w14:textId="77777777" w:rsidR="006160F8" w:rsidRDefault="006160F8" w:rsidP="008B750B">
      <w:pPr>
        <w:spacing w:line="240" w:lineRule="auto"/>
      </w:pPr>
      <w:r>
        <w:separator/>
      </w:r>
    </w:p>
  </w:endnote>
  <w:endnote w:type="continuationSeparator" w:id="0">
    <w:p w14:paraId="0E61927A" w14:textId="77777777" w:rsidR="006160F8" w:rsidRDefault="006160F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panose1 w:val="00000400000000000000"/>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4A40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5B7F7D9D" w14:textId="77777777" w:rsidTr="0020241A">
      <w:tc>
        <w:tcPr>
          <w:tcW w:w="3382" w:type="dxa"/>
          <w:tcBorders>
            <w:top w:val="nil"/>
            <w:left w:val="nil"/>
            <w:bottom w:val="nil"/>
            <w:right w:val="nil"/>
          </w:tcBorders>
        </w:tcPr>
        <w:p w14:paraId="1B913177"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C235D80"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73B9" w:rsidRPr="00FC73B9">
            <w:rPr>
              <w:noProof/>
              <w:rtl/>
              <w:lang w:val="fa-IR"/>
            </w:rPr>
            <w:t>1</w:t>
          </w:r>
          <w:r>
            <w:rPr>
              <w:noProof/>
            </w:rPr>
            <w:fldChar w:fldCharType="end"/>
          </w:r>
        </w:p>
      </w:tc>
      <w:tc>
        <w:tcPr>
          <w:tcW w:w="4786" w:type="dxa"/>
          <w:tcBorders>
            <w:top w:val="nil"/>
            <w:left w:val="nil"/>
            <w:bottom w:val="nil"/>
            <w:right w:val="nil"/>
          </w:tcBorders>
          <w:vAlign w:val="center"/>
        </w:tcPr>
        <w:p w14:paraId="63C6C4F9" w14:textId="77777777" w:rsidR="006D44C1" w:rsidRPr="006D44C1" w:rsidRDefault="003F3E58" w:rsidP="001B6799">
          <w:pPr>
            <w:pStyle w:val="Footer"/>
            <w:bidi w:val="0"/>
            <w:rPr>
              <w:color w:val="808080" w:themeColor="background1" w:themeShade="80"/>
              <w:rtl/>
            </w:rPr>
          </w:pPr>
          <w:bookmarkStart w:id="13" w:name="BokAdres"/>
          <w:bookmarkEnd w:id="13"/>
          <w:r>
            <w:rPr>
              <w:color w:val="808080" w:themeColor="background1" w:themeShade="80"/>
            </w:rPr>
            <w:t>F1mq1_13981128-074_mk4_mfeb.ir</w:t>
          </w:r>
        </w:p>
      </w:tc>
    </w:tr>
  </w:tbl>
  <w:p w14:paraId="4502E539"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75042"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3E28A" w14:textId="77777777" w:rsidR="006160F8" w:rsidRDefault="006160F8" w:rsidP="008B750B">
      <w:pPr>
        <w:spacing w:line="240" w:lineRule="auto"/>
      </w:pPr>
      <w:r>
        <w:separator/>
      </w:r>
    </w:p>
  </w:footnote>
  <w:footnote w:type="continuationSeparator" w:id="0">
    <w:p w14:paraId="1CD76208" w14:textId="77777777" w:rsidR="006160F8" w:rsidRDefault="006160F8" w:rsidP="008B750B">
      <w:pPr>
        <w:spacing w:line="240" w:lineRule="auto"/>
      </w:pPr>
      <w:r>
        <w:continuationSeparator/>
      </w:r>
    </w:p>
  </w:footnote>
  <w:footnote w:id="1">
    <w:p w14:paraId="0C0E2EB7" w14:textId="5F741B75" w:rsidR="00E13BB2" w:rsidRPr="00E13BB2" w:rsidRDefault="00E13BB2" w:rsidP="00E13BB2">
      <w:pPr>
        <w:pStyle w:val="FootnoteText"/>
        <w:rPr>
          <w:rtl/>
        </w:rPr>
      </w:pPr>
      <w:r w:rsidRPr="00E13BB2">
        <w:footnoteRef/>
      </w:r>
      <w:r w:rsidRPr="00E13BB2">
        <w:rPr>
          <w:rtl/>
        </w:rPr>
        <w:t xml:space="preserve"> </w:t>
      </w:r>
      <w:hyperlink r:id="rId1" w:history="1">
        <w:r w:rsidRPr="00E13BB2">
          <w:rPr>
            <w:rStyle w:val="Hyperlink"/>
            <w:rtl/>
          </w:rPr>
          <w:t>تهذ</w:t>
        </w:r>
        <w:r w:rsidRPr="00E13BB2">
          <w:rPr>
            <w:rStyle w:val="Hyperlink"/>
            <w:rFonts w:hint="cs"/>
            <w:rtl/>
          </w:rPr>
          <w:t>ی</w:t>
        </w:r>
        <w:r w:rsidRPr="00E13BB2">
          <w:rPr>
            <w:rStyle w:val="Hyperlink"/>
            <w:rFonts w:hint="eastAsia"/>
            <w:rtl/>
          </w:rPr>
          <w:t>ب</w:t>
        </w:r>
        <w:r w:rsidRPr="00E13BB2">
          <w:rPr>
            <w:rStyle w:val="Hyperlink"/>
            <w:rtl/>
          </w:rPr>
          <w:t xml:space="preserve"> الاحکام، ش</w:t>
        </w:r>
        <w:r w:rsidRPr="00E13BB2">
          <w:rPr>
            <w:rStyle w:val="Hyperlink"/>
            <w:rFonts w:hint="cs"/>
            <w:rtl/>
          </w:rPr>
          <w:t>ی</w:t>
        </w:r>
        <w:r w:rsidRPr="00E13BB2">
          <w:rPr>
            <w:rStyle w:val="Hyperlink"/>
            <w:rFonts w:hint="eastAsia"/>
            <w:rtl/>
          </w:rPr>
          <w:t>خ</w:t>
        </w:r>
        <w:r w:rsidRPr="00E13BB2">
          <w:rPr>
            <w:rStyle w:val="Hyperlink"/>
            <w:rtl/>
          </w:rPr>
          <w:t xml:space="preserve"> طوس</w:t>
        </w:r>
        <w:r w:rsidRPr="00E13BB2">
          <w:rPr>
            <w:rStyle w:val="Hyperlink"/>
            <w:rFonts w:hint="cs"/>
            <w:rtl/>
          </w:rPr>
          <w:t>ی</w:t>
        </w:r>
        <w:r w:rsidRPr="00E13BB2">
          <w:rPr>
            <w:rStyle w:val="Hyperlink"/>
            <w:rFonts w:hint="eastAsia"/>
            <w:rtl/>
          </w:rPr>
          <w:t>،</w:t>
        </w:r>
        <w:r w:rsidRPr="00E13BB2">
          <w:rPr>
            <w:rStyle w:val="Hyperlink"/>
            <w:rtl/>
          </w:rPr>
          <w:t xml:space="preserve"> ج6، ص296.</w:t>
        </w:r>
      </w:hyperlink>
    </w:p>
  </w:footnote>
  <w:footnote w:id="2">
    <w:p w14:paraId="76E63F7E" w14:textId="3B16672B" w:rsidR="00E13BB2" w:rsidRPr="00AE31AC" w:rsidRDefault="00E13BB2" w:rsidP="00E13BB2">
      <w:pPr>
        <w:pStyle w:val="FootnoteText"/>
      </w:pPr>
      <w:r w:rsidRPr="00AE31AC">
        <w:footnoteRef/>
      </w:r>
      <w:r w:rsidRPr="00AE31AC">
        <w:rPr>
          <w:rtl/>
        </w:rPr>
        <w:t xml:space="preserve"> </w:t>
      </w:r>
      <w:hyperlink r:id="rId2" w:history="1">
        <w:r w:rsidRPr="00AE31AC">
          <w:rPr>
            <w:rStyle w:val="Hyperlink"/>
            <w:rFonts w:hint="eastAsia"/>
            <w:rtl/>
          </w:rPr>
          <w:t>الکاف</w:t>
        </w:r>
        <w:r w:rsidRPr="00AE31AC">
          <w:rPr>
            <w:rStyle w:val="Hyperlink"/>
            <w:rFonts w:hint="cs"/>
            <w:rtl/>
          </w:rPr>
          <w:t>ی</w:t>
        </w:r>
        <w:r w:rsidRPr="00AE31AC">
          <w:rPr>
            <w:rStyle w:val="Hyperlink"/>
            <w:rFonts w:hint="eastAsia"/>
            <w:rtl/>
          </w:rPr>
          <w:t>،</w:t>
        </w:r>
        <w:r w:rsidRPr="00AE31AC">
          <w:rPr>
            <w:rStyle w:val="Hyperlink"/>
            <w:rtl/>
          </w:rPr>
          <w:t xml:space="preserve"> </w:t>
        </w:r>
        <w:r w:rsidRPr="00AE31AC">
          <w:rPr>
            <w:rStyle w:val="Hyperlink"/>
            <w:rtl/>
          </w:rPr>
          <w:t xml:space="preserve">محمد بن </w:t>
        </w:r>
        <w:r w:rsidRPr="00AE31AC">
          <w:rPr>
            <w:rStyle w:val="Hyperlink"/>
            <w:rFonts w:hint="cs"/>
            <w:rtl/>
          </w:rPr>
          <w:t>ی</w:t>
        </w:r>
        <w:r w:rsidRPr="00AE31AC">
          <w:rPr>
            <w:rStyle w:val="Hyperlink"/>
            <w:rFonts w:hint="eastAsia"/>
            <w:rtl/>
          </w:rPr>
          <w:t>عقوب</w:t>
        </w:r>
        <w:r w:rsidRPr="00AE31AC">
          <w:rPr>
            <w:rStyle w:val="Hyperlink"/>
            <w:rtl/>
          </w:rPr>
          <w:t xml:space="preserve"> کل</w:t>
        </w:r>
        <w:r w:rsidRPr="00AE31AC">
          <w:rPr>
            <w:rStyle w:val="Hyperlink"/>
            <w:rFonts w:hint="cs"/>
            <w:rtl/>
          </w:rPr>
          <w:t>ی</w:t>
        </w:r>
        <w:r w:rsidRPr="00AE31AC">
          <w:rPr>
            <w:rStyle w:val="Hyperlink"/>
            <w:rFonts w:hint="eastAsia"/>
            <w:rtl/>
          </w:rPr>
          <w:t>ن</w:t>
        </w:r>
        <w:r w:rsidRPr="00AE31AC">
          <w:rPr>
            <w:rStyle w:val="Hyperlink"/>
            <w:rFonts w:hint="cs"/>
            <w:rtl/>
          </w:rPr>
          <w:t>ی</w:t>
        </w:r>
        <w:r w:rsidRPr="00AE31AC">
          <w:rPr>
            <w:rStyle w:val="Hyperlink"/>
            <w:rFonts w:hint="eastAsia"/>
            <w:rtl/>
          </w:rPr>
          <w:t>،</w:t>
        </w:r>
        <w:r w:rsidRPr="00AE31AC">
          <w:rPr>
            <w:rStyle w:val="Hyperlink"/>
            <w:rtl/>
          </w:rPr>
          <w:t xml:space="preserve"> ج5، ص102.</w:t>
        </w:r>
      </w:hyperlink>
    </w:p>
  </w:footnote>
  <w:footnote w:id="3">
    <w:p w14:paraId="06BC4A1D" w14:textId="6D2C63F0" w:rsidR="00E13BB2" w:rsidRPr="00E13BB2" w:rsidRDefault="00E13BB2" w:rsidP="00E13BB2">
      <w:pPr>
        <w:pStyle w:val="FootnoteText"/>
        <w:rPr>
          <w:rtl/>
        </w:rPr>
      </w:pPr>
      <w:r w:rsidRPr="00E13BB2">
        <w:footnoteRef/>
      </w:r>
      <w:r w:rsidRPr="00E13BB2">
        <w:rPr>
          <w:rtl/>
        </w:rPr>
        <w:t xml:space="preserve"> </w:t>
      </w:r>
      <w:hyperlink r:id="rId3" w:history="1">
        <w:r w:rsidRPr="00E13BB2">
          <w:rPr>
            <w:rStyle w:val="Hyperlink"/>
            <w:rtl/>
          </w:rPr>
          <w:t xml:space="preserve">وسائل </w:t>
        </w:r>
        <w:r w:rsidRPr="00E13BB2">
          <w:rPr>
            <w:rStyle w:val="Hyperlink"/>
            <w:rtl/>
          </w:rPr>
          <w:t>الش</w:t>
        </w:r>
        <w:r w:rsidRPr="00E13BB2">
          <w:rPr>
            <w:rStyle w:val="Hyperlink"/>
            <w:rFonts w:hint="cs"/>
            <w:rtl/>
          </w:rPr>
          <w:t>ی</w:t>
        </w:r>
        <w:r w:rsidRPr="00E13BB2">
          <w:rPr>
            <w:rStyle w:val="Hyperlink"/>
            <w:rFonts w:hint="eastAsia"/>
            <w:rtl/>
          </w:rPr>
          <w:t>عة،</w:t>
        </w:r>
        <w:r w:rsidRPr="00E13BB2">
          <w:rPr>
            <w:rStyle w:val="Hyperlink"/>
            <w:rtl/>
          </w:rPr>
          <w:t xml:space="preserve"> الش</w:t>
        </w:r>
        <w:r w:rsidRPr="00E13BB2">
          <w:rPr>
            <w:rStyle w:val="Hyperlink"/>
            <w:rFonts w:hint="cs"/>
            <w:rtl/>
          </w:rPr>
          <w:t>ی</w:t>
        </w:r>
        <w:r w:rsidRPr="00E13BB2">
          <w:rPr>
            <w:rStyle w:val="Hyperlink"/>
            <w:rFonts w:hint="eastAsia"/>
            <w:rtl/>
          </w:rPr>
          <w:t>خ</w:t>
        </w:r>
        <w:r w:rsidRPr="00E13BB2">
          <w:rPr>
            <w:rStyle w:val="Hyperlink"/>
            <w:rtl/>
          </w:rPr>
          <w:t xml:space="preserve"> الحر العاملي، ج27، ص296، أبواب باب كيفية الحكم على الغائب ، وحكم القبالة * المودعة لرجلين، باب26، ح4، ط آل البيت.</w:t>
        </w:r>
      </w:hyperlink>
    </w:p>
  </w:footnote>
  <w:footnote w:id="4">
    <w:p w14:paraId="2985A760" w14:textId="7E57E30E" w:rsidR="00E13BB2" w:rsidRPr="00E13BB2" w:rsidRDefault="00E13BB2" w:rsidP="00E13BB2">
      <w:pPr>
        <w:pStyle w:val="FootnoteText"/>
        <w:rPr>
          <w:rtl/>
        </w:rPr>
      </w:pPr>
      <w:r w:rsidRPr="00E13BB2">
        <w:footnoteRef/>
      </w:r>
      <w:r w:rsidRPr="00E13BB2">
        <w:rPr>
          <w:rtl/>
        </w:rPr>
        <w:t xml:space="preserve"> </w:t>
      </w:r>
      <w:hyperlink r:id="rId4" w:history="1">
        <w:r w:rsidRPr="00E13BB2">
          <w:rPr>
            <w:rStyle w:val="Hyperlink"/>
            <w:rtl/>
          </w:rPr>
          <w:t>تهذ</w:t>
        </w:r>
        <w:r w:rsidRPr="00E13BB2">
          <w:rPr>
            <w:rStyle w:val="Hyperlink"/>
            <w:rFonts w:hint="cs"/>
            <w:rtl/>
          </w:rPr>
          <w:t>ی</w:t>
        </w:r>
        <w:r w:rsidRPr="00E13BB2">
          <w:rPr>
            <w:rStyle w:val="Hyperlink"/>
            <w:rFonts w:hint="eastAsia"/>
            <w:rtl/>
          </w:rPr>
          <w:t>ب</w:t>
        </w:r>
        <w:r w:rsidRPr="00E13BB2">
          <w:rPr>
            <w:rStyle w:val="Hyperlink"/>
            <w:rtl/>
          </w:rPr>
          <w:t xml:space="preserve"> </w:t>
        </w:r>
        <w:r w:rsidRPr="00E13BB2">
          <w:rPr>
            <w:rStyle w:val="Hyperlink"/>
            <w:rtl/>
          </w:rPr>
          <w:t>الاحکام، ش</w:t>
        </w:r>
        <w:r w:rsidRPr="00E13BB2">
          <w:rPr>
            <w:rStyle w:val="Hyperlink"/>
            <w:rFonts w:hint="cs"/>
            <w:rtl/>
          </w:rPr>
          <w:t>ی</w:t>
        </w:r>
        <w:r w:rsidRPr="00E13BB2">
          <w:rPr>
            <w:rStyle w:val="Hyperlink"/>
            <w:rFonts w:hint="eastAsia"/>
            <w:rtl/>
          </w:rPr>
          <w:t>خ</w:t>
        </w:r>
        <w:r w:rsidRPr="00E13BB2">
          <w:rPr>
            <w:rStyle w:val="Hyperlink"/>
            <w:rtl/>
          </w:rPr>
          <w:t xml:space="preserve"> طوس</w:t>
        </w:r>
        <w:r w:rsidRPr="00E13BB2">
          <w:rPr>
            <w:rStyle w:val="Hyperlink"/>
            <w:rFonts w:hint="cs"/>
            <w:rtl/>
          </w:rPr>
          <w:t>ی</w:t>
        </w:r>
        <w:r w:rsidRPr="00E13BB2">
          <w:rPr>
            <w:rStyle w:val="Hyperlink"/>
            <w:rFonts w:hint="eastAsia"/>
            <w:rtl/>
          </w:rPr>
          <w:t>،</w:t>
        </w:r>
        <w:r w:rsidRPr="00E13BB2">
          <w:rPr>
            <w:rStyle w:val="Hyperlink"/>
            <w:rtl/>
          </w:rPr>
          <w:t xml:space="preserve"> ج6، ص240.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9032F"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3932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3F3E58">
      <w:rPr>
        <w:b/>
        <w:bCs/>
        <w:sz w:val="20"/>
        <w:szCs w:val="24"/>
        <w:rtl/>
      </w:rPr>
      <w:t>074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3F3E58">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3F3E58">
      <w:rPr>
        <w:b/>
        <w:bCs/>
        <w:color w:val="632423" w:themeColor="accent2" w:themeShade="80"/>
        <w:sz w:val="20"/>
        <w:szCs w:val="24"/>
        <w:rtl/>
      </w:rPr>
      <w:t>قائ</w:t>
    </w:r>
    <w:r w:rsidR="003F3E58">
      <w:rPr>
        <w:rFonts w:hint="cs"/>
        <w:b/>
        <w:bCs/>
        <w:color w:val="632423" w:themeColor="accent2" w:themeShade="80"/>
        <w:sz w:val="20"/>
        <w:szCs w:val="24"/>
        <w:rtl/>
      </w:rPr>
      <w:t>ی</w:t>
    </w:r>
    <w:r w:rsidR="003F3E58">
      <w:rPr>
        <w:rFonts w:hint="eastAsia"/>
        <w:b/>
        <w:bCs/>
        <w:color w:val="632423" w:themeColor="accent2" w:themeShade="80"/>
        <w:sz w:val="20"/>
        <w:szCs w:val="24"/>
        <w:rtl/>
      </w:rPr>
      <w:t>ن</w:t>
    </w:r>
    <w:r w:rsidR="003F3E5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3F3E58">
      <w:rPr>
        <w:sz w:val="24"/>
        <w:szCs w:val="24"/>
        <w:rtl/>
      </w:rPr>
      <w:t>28 /11 /1398</w:t>
    </w:r>
  </w:p>
  <w:p w14:paraId="5641F7FE"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3F3E58">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3F3E58">
      <w:rPr>
        <w:sz w:val="24"/>
        <w:szCs w:val="24"/>
        <w:rtl/>
      </w:rPr>
      <w:t>مهد</w:t>
    </w:r>
    <w:r w:rsidR="003F3E58">
      <w:rPr>
        <w:rFonts w:hint="cs"/>
        <w:sz w:val="24"/>
        <w:szCs w:val="24"/>
        <w:rtl/>
      </w:rPr>
      <w:t>ی</w:t>
    </w:r>
    <w:r w:rsidR="003F3E58">
      <w:rPr>
        <w:sz w:val="24"/>
        <w:szCs w:val="24"/>
        <w:rtl/>
      </w:rPr>
      <w:t xml:space="preserve"> خسروب</w:t>
    </w:r>
    <w:r w:rsidR="003F3E58">
      <w:rPr>
        <w:rFonts w:hint="cs"/>
        <w:sz w:val="24"/>
        <w:szCs w:val="24"/>
        <w:rtl/>
      </w:rPr>
      <w:t>ی</w:t>
    </w:r>
    <w:r w:rsidR="003F3E58">
      <w:rPr>
        <w:rFonts w:hint="eastAsia"/>
        <w:sz w:val="24"/>
        <w:szCs w:val="24"/>
        <w:rtl/>
      </w:rPr>
      <w:t>گ</w:t>
    </w:r>
    <w:r w:rsidR="003F3E58">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3F3E58">
      <w:rPr>
        <w:sz w:val="24"/>
        <w:szCs w:val="24"/>
        <w:rtl/>
      </w:rPr>
      <w:t>ولا</w:t>
    </w:r>
    <w:r w:rsidR="003F3E58">
      <w:rPr>
        <w:rFonts w:hint="cs"/>
        <w:sz w:val="24"/>
        <w:szCs w:val="24"/>
        <w:rtl/>
      </w:rPr>
      <w:t>ی</w:t>
    </w:r>
    <w:r w:rsidR="003F3E58">
      <w:rPr>
        <w:rFonts w:hint="eastAsia"/>
        <w:sz w:val="24"/>
        <w:szCs w:val="24"/>
        <w:rtl/>
      </w:rPr>
      <w:t>ت</w:t>
    </w:r>
    <w:r w:rsidR="003F3E58">
      <w:rPr>
        <w:sz w:val="24"/>
        <w:szCs w:val="24"/>
        <w:rtl/>
      </w:rPr>
      <w:t xml:space="preserve"> بر تع</w:t>
    </w:r>
    <w:r w:rsidR="003F3E58">
      <w:rPr>
        <w:rFonts w:hint="cs"/>
        <w:sz w:val="24"/>
        <w:szCs w:val="24"/>
        <w:rtl/>
      </w:rPr>
      <w:t>یی</w:t>
    </w:r>
    <w:r w:rsidR="003F3E58">
      <w:rPr>
        <w:rFonts w:hint="eastAsia"/>
        <w:sz w:val="24"/>
        <w:szCs w:val="24"/>
        <w:rtl/>
      </w:rPr>
      <w:t>ن</w:t>
    </w:r>
    <w:r w:rsidR="003F3E58">
      <w:rPr>
        <w:sz w:val="24"/>
        <w:szCs w:val="24"/>
        <w:rtl/>
      </w:rPr>
      <w:t xml:space="preserve"> قاض</w:t>
    </w:r>
    <w:r w:rsidR="003F3E58">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467D7"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6C3C"/>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3E58"/>
    <w:rsid w:val="003F5B46"/>
    <w:rsid w:val="00401363"/>
    <w:rsid w:val="00402E47"/>
    <w:rsid w:val="00425015"/>
    <w:rsid w:val="00430994"/>
    <w:rsid w:val="00441B6D"/>
    <w:rsid w:val="00451F08"/>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8C"/>
    <w:rsid w:val="005426BF"/>
    <w:rsid w:val="0056213C"/>
    <w:rsid w:val="0056408F"/>
    <w:rsid w:val="0057798E"/>
    <w:rsid w:val="00580C24"/>
    <w:rsid w:val="005968EF"/>
    <w:rsid w:val="00596C1E"/>
    <w:rsid w:val="005A2E26"/>
    <w:rsid w:val="005B7BCA"/>
    <w:rsid w:val="005C0DAE"/>
    <w:rsid w:val="005C188E"/>
    <w:rsid w:val="005C3026"/>
    <w:rsid w:val="005D2349"/>
    <w:rsid w:val="005D471F"/>
    <w:rsid w:val="005E1B60"/>
    <w:rsid w:val="005E4E5A"/>
    <w:rsid w:val="005E5507"/>
    <w:rsid w:val="005E607B"/>
    <w:rsid w:val="005F0A8D"/>
    <w:rsid w:val="00601229"/>
    <w:rsid w:val="00603B67"/>
    <w:rsid w:val="006160F8"/>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759E"/>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39DD"/>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3BB2"/>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6699"/>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440C"/>
    <w:rsid w:val="00F914EB"/>
    <w:rsid w:val="00F91B85"/>
    <w:rsid w:val="00F938E7"/>
    <w:rsid w:val="00FA3B17"/>
    <w:rsid w:val="00FA58DD"/>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45E8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UnresolvedMention">
    <w:name w:val="Unresolved Mention"/>
    <w:basedOn w:val="DefaultParagraphFont"/>
    <w:uiPriority w:val="99"/>
    <w:semiHidden/>
    <w:unhideWhenUsed/>
    <w:rsid w:val="00E13BB2"/>
    <w:rPr>
      <w:color w:val="605E5C"/>
      <w:shd w:val="clear" w:color="auto" w:fill="E1DFDD"/>
    </w:rPr>
  </w:style>
  <w:style w:type="character" w:styleId="FollowedHyperlink">
    <w:name w:val="FollowedHyperlink"/>
    <w:basedOn w:val="DefaultParagraphFont"/>
    <w:uiPriority w:val="99"/>
    <w:semiHidden/>
    <w:unhideWhenUsed/>
    <w:rsid w:val="00FA58DD"/>
    <w:rPr>
      <w:color w:val="800080" w:themeColor="followedHyperlink"/>
      <w:u w:val="single"/>
    </w:rPr>
  </w:style>
  <w:style w:type="character" w:styleId="CommentReference">
    <w:name w:val="annotation reference"/>
    <w:basedOn w:val="DefaultParagraphFont"/>
    <w:uiPriority w:val="99"/>
    <w:semiHidden/>
    <w:unhideWhenUsed/>
    <w:rsid w:val="00296C3C"/>
    <w:rPr>
      <w:sz w:val="16"/>
      <w:szCs w:val="16"/>
    </w:rPr>
  </w:style>
  <w:style w:type="paragraph" w:styleId="CommentText">
    <w:name w:val="annotation text"/>
    <w:basedOn w:val="Normal"/>
    <w:link w:val="CommentTextChar"/>
    <w:uiPriority w:val="99"/>
    <w:semiHidden/>
    <w:unhideWhenUsed/>
    <w:rsid w:val="00296C3C"/>
    <w:pPr>
      <w:spacing w:line="240" w:lineRule="auto"/>
    </w:pPr>
    <w:rPr>
      <w:sz w:val="20"/>
      <w:szCs w:val="20"/>
    </w:rPr>
  </w:style>
  <w:style w:type="character" w:customStyle="1" w:styleId="CommentTextChar">
    <w:name w:val="Comment Text Char"/>
    <w:basedOn w:val="DefaultParagraphFont"/>
    <w:link w:val="CommentText"/>
    <w:uiPriority w:val="99"/>
    <w:semiHidden/>
    <w:rsid w:val="00296C3C"/>
    <w:rPr>
      <w:rFonts w:cs="B Badr"/>
    </w:rPr>
  </w:style>
  <w:style w:type="paragraph" w:styleId="CommentSubject">
    <w:name w:val="annotation subject"/>
    <w:basedOn w:val="CommentText"/>
    <w:next w:val="CommentText"/>
    <w:link w:val="CommentSubjectChar"/>
    <w:uiPriority w:val="99"/>
    <w:semiHidden/>
    <w:unhideWhenUsed/>
    <w:rsid w:val="00296C3C"/>
    <w:rPr>
      <w:b/>
      <w:bCs/>
    </w:rPr>
  </w:style>
  <w:style w:type="character" w:customStyle="1" w:styleId="CommentSubjectChar">
    <w:name w:val="Comment Subject Char"/>
    <w:basedOn w:val="CommentTextChar"/>
    <w:link w:val="CommentSubject"/>
    <w:uiPriority w:val="99"/>
    <w:semiHidden/>
    <w:rsid w:val="00296C3C"/>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9988123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7/296/&#1575;&#1604;&#1618;&#1576;&#1614;&#1582;&#1618;&#1578;&#1614;&#1585;&#1616;&#1610;&#1617;&#1616;" TargetMode="External"/><Relationship Id="rId2" Type="http://schemas.openxmlformats.org/officeDocument/2006/relationships/hyperlink" Target="http://lib.eshia.ir/11005/5/102/&#1605;&#1604;&#1740;&#1575;" TargetMode="External"/><Relationship Id="rId1" Type="http://schemas.openxmlformats.org/officeDocument/2006/relationships/hyperlink" Target="http://lib.eshia.ir/10083/6/296/&#1576;&#1616;&#1603;&#1615;&#1601;&#1614;&#1604;&#1614;&#1575;&#1569;&#1614;" TargetMode="External"/><Relationship Id="rId4" Type="http://schemas.openxmlformats.org/officeDocument/2006/relationships/hyperlink" Target="http://lib.eshia.ir/10083/6/240/&#1605;&#1580;&#1607;&#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18659-6E01-4147-BF6B-DBD09B0F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1</Pages>
  <Words>619</Words>
  <Characters>3534</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4145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5</cp:revision>
  <cp:lastPrinted>2020-03-10T18:00:00Z</cp:lastPrinted>
  <dcterms:created xsi:type="dcterms:W3CDTF">2020-02-25T10:06:00Z</dcterms:created>
  <dcterms:modified xsi:type="dcterms:W3CDTF">2020-03-10T18:01:00Z</dcterms:modified>
  <cp:contentStatus>ویرایش 2.5</cp:contentStatus>
  <cp:version>2.7</cp:version>
</cp:coreProperties>
</file>