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89931" w14:textId="77777777" w:rsidR="008B750B" w:rsidRPr="008A522A" w:rsidRDefault="00783473" w:rsidP="009C66D5">
      <w:pPr>
        <w:jc w:val="center"/>
        <w:rPr>
          <w:rtl/>
        </w:rPr>
      </w:pPr>
      <w:r>
        <w:rPr>
          <w:rFonts w:hint="cs"/>
          <w:noProof/>
          <w:rtl/>
        </w:rPr>
        <w:drawing>
          <wp:inline distT="0" distB="0" distL="0" distR="0" wp14:anchorId="4CA4CA77" wp14:editId="68F81CE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A72B5D3" w14:textId="0854E41C" w:rsidR="00094936"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6231071" w:history="1">
        <w:r w:rsidR="00094936" w:rsidRPr="00902F75">
          <w:rPr>
            <w:rStyle w:val="Hyperlink"/>
            <w:noProof/>
            <w:rtl/>
          </w:rPr>
          <w:t>مسلوب الولا</w:t>
        </w:r>
        <w:r w:rsidR="00094936" w:rsidRPr="00902F75">
          <w:rPr>
            <w:rStyle w:val="Hyperlink"/>
            <w:rFonts w:hint="cs"/>
            <w:noProof/>
            <w:rtl/>
          </w:rPr>
          <w:t>ی</w:t>
        </w:r>
        <w:r w:rsidR="00094936" w:rsidRPr="00902F75">
          <w:rPr>
            <w:rStyle w:val="Hyperlink"/>
            <w:noProof/>
            <w:rtl/>
          </w:rPr>
          <w:t>ه بودن صب</w:t>
        </w:r>
        <w:r w:rsidR="00094936" w:rsidRPr="00902F75">
          <w:rPr>
            <w:rStyle w:val="Hyperlink"/>
            <w:rFonts w:hint="cs"/>
            <w:noProof/>
            <w:rtl/>
          </w:rPr>
          <w:t>ی</w:t>
        </w:r>
        <w:r w:rsidR="00094936">
          <w:rPr>
            <w:noProof/>
            <w:webHidden/>
            <w:rtl/>
          </w:rPr>
          <w:tab/>
        </w:r>
        <w:r w:rsidR="00094936">
          <w:rPr>
            <w:noProof/>
            <w:webHidden/>
            <w:rtl/>
          </w:rPr>
          <w:fldChar w:fldCharType="begin"/>
        </w:r>
        <w:r w:rsidR="00094936">
          <w:rPr>
            <w:noProof/>
            <w:webHidden/>
            <w:rtl/>
          </w:rPr>
          <w:instrText xml:space="preserve"> </w:instrText>
        </w:r>
        <w:r w:rsidR="00094936">
          <w:rPr>
            <w:noProof/>
            <w:webHidden/>
          </w:rPr>
          <w:instrText>PAGEREF</w:instrText>
        </w:r>
        <w:r w:rsidR="00094936">
          <w:rPr>
            <w:noProof/>
            <w:webHidden/>
            <w:rtl/>
          </w:rPr>
          <w:instrText xml:space="preserve"> _</w:instrText>
        </w:r>
        <w:r w:rsidR="00094936">
          <w:rPr>
            <w:noProof/>
            <w:webHidden/>
          </w:rPr>
          <w:instrText>Toc</w:instrText>
        </w:r>
        <w:r w:rsidR="00094936">
          <w:rPr>
            <w:noProof/>
            <w:webHidden/>
            <w:rtl/>
          </w:rPr>
          <w:instrText xml:space="preserve">36231071 </w:instrText>
        </w:r>
        <w:r w:rsidR="00094936">
          <w:rPr>
            <w:noProof/>
            <w:webHidden/>
          </w:rPr>
          <w:instrText>\h</w:instrText>
        </w:r>
        <w:r w:rsidR="00094936">
          <w:rPr>
            <w:noProof/>
            <w:webHidden/>
            <w:rtl/>
          </w:rPr>
          <w:instrText xml:space="preserve"> </w:instrText>
        </w:r>
        <w:r w:rsidR="00094936">
          <w:rPr>
            <w:noProof/>
            <w:webHidden/>
            <w:rtl/>
          </w:rPr>
        </w:r>
        <w:r w:rsidR="00094936">
          <w:rPr>
            <w:noProof/>
            <w:webHidden/>
            <w:rtl/>
          </w:rPr>
          <w:fldChar w:fldCharType="separate"/>
        </w:r>
        <w:r w:rsidR="00EF5591">
          <w:rPr>
            <w:noProof/>
            <w:webHidden/>
            <w:rtl/>
          </w:rPr>
          <w:t>1</w:t>
        </w:r>
        <w:r w:rsidR="00094936">
          <w:rPr>
            <w:noProof/>
            <w:webHidden/>
            <w:rtl/>
          </w:rPr>
          <w:fldChar w:fldCharType="end"/>
        </w:r>
      </w:hyperlink>
    </w:p>
    <w:p w14:paraId="4DB63F09" w14:textId="56512AB6" w:rsidR="00094936" w:rsidRDefault="00EF5591">
      <w:pPr>
        <w:pStyle w:val="TOC1"/>
        <w:rPr>
          <w:rFonts w:asciiTheme="minorHAnsi" w:eastAsiaTheme="minorEastAsia" w:hAnsiTheme="minorHAnsi" w:cstheme="minorBidi"/>
          <w:noProof/>
          <w:color w:val="auto"/>
          <w:szCs w:val="22"/>
          <w:rtl/>
          <w:lang w:bidi="ar-SA"/>
        </w:rPr>
      </w:pPr>
      <w:hyperlink w:anchor="_Toc36231072" w:history="1">
        <w:r w:rsidR="00094936" w:rsidRPr="00902F75">
          <w:rPr>
            <w:rStyle w:val="Hyperlink"/>
            <w:noProof/>
            <w:rtl/>
          </w:rPr>
          <w:t>وجه د</w:t>
        </w:r>
        <w:r w:rsidR="00094936" w:rsidRPr="00902F75">
          <w:rPr>
            <w:rStyle w:val="Hyperlink"/>
            <w:rFonts w:hint="cs"/>
            <w:noProof/>
            <w:rtl/>
          </w:rPr>
          <w:t>ی</w:t>
        </w:r>
        <w:r w:rsidR="00094936" w:rsidRPr="00902F75">
          <w:rPr>
            <w:rStyle w:val="Hyperlink"/>
            <w:rFonts w:hint="eastAsia"/>
            <w:noProof/>
            <w:rtl/>
          </w:rPr>
          <w:t>گر</w:t>
        </w:r>
        <w:r w:rsidR="00094936" w:rsidRPr="00902F75">
          <w:rPr>
            <w:rStyle w:val="Hyperlink"/>
            <w:rFonts w:hint="cs"/>
            <w:noProof/>
            <w:rtl/>
          </w:rPr>
          <w:t>ی</w:t>
        </w:r>
        <w:r w:rsidR="00094936" w:rsidRPr="00902F75">
          <w:rPr>
            <w:rStyle w:val="Hyperlink"/>
            <w:noProof/>
            <w:rtl/>
          </w:rPr>
          <w:t xml:space="preserve"> برا</w:t>
        </w:r>
        <w:r w:rsidR="00094936" w:rsidRPr="00902F75">
          <w:rPr>
            <w:rStyle w:val="Hyperlink"/>
            <w:rFonts w:hint="cs"/>
            <w:noProof/>
            <w:rtl/>
          </w:rPr>
          <w:t>ی</w:t>
        </w:r>
        <w:r w:rsidR="00094936" w:rsidRPr="00902F75">
          <w:rPr>
            <w:rStyle w:val="Hyperlink"/>
            <w:noProof/>
            <w:rtl/>
          </w:rPr>
          <w:t xml:space="preserve"> اشتراط بلوغ در قاض</w:t>
        </w:r>
        <w:r w:rsidR="00094936" w:rsidRPr="00902F75">
          <w:rPr>
            <w:rStyle w:val="Hyperlink"/>
            <w:rFonts w:hint="cs"/>
            <w:noProof/>
            <w:rtl/>
          </w:rPr>
          <w:t>ی</w:t>
        </w:r>
        <w:r w:rsidR="00094936">
          <w:rPr>
            <w:noProof/>
            <w:webHidden/>
            <w:rtl/>
          </w:rPr>
          <w:tab/>
        </w:r>
        <w:r w:rsidR="00094936">
          <w:rPr>
            <w:noProof/>
            <w:webHidden/>
            <w:rtl/>
          </w:rPr>
          <w:fldChar w:fldCharType="begin"/>
        </w:r>
        <w:r w:rsidR="00094936">
          <w:rPr>
            <w:noProof/>
            <w:webHidden/>
            <w:rtl/>
          </w:rPr>
          <w:instrText xml:space="preserve"> </w:instrText>
        </w:r>
        <w:r w:rsidR="00094936">
          <w:rPr>
            <w:noProof/>
            <w:webHidden/>
          </w:rPr>
          <w:instrText>PAGEREF</w:instrText>
        </w:r>
        <w:r w:rsidR="00094936">
          <w:rPr>
            <w:noProof/>
            <w:webHidden/>
            <w:rtl/>
          </w:rPr>
          <w:instrText xml:space="preserve"> _</w:instrText>
        </w:r>
        <w:r w:rsidR="00094936">
          <w:rPr>
            <w:noProof/>
            <w:webHidden/>
          </w:rPr>
          <w:instrText>Toc</w:instrText>
        </w:r>
        <w:r w:rsidR="00094936">
          <w:rPr>
            <w:noProof/>
            <w:webHidden/>
            <w:rtl/>
          </w:rPr>
          <w:instrText xml:space="preserve">36231072 </w:instrText>
        </w:r>
        <w:r w:rsidR="00094936">
          <w:rPr>
            <w:noProof/>
            <w:webHidden/>
          </w:rPr>
          <w:instrText>\h</w:instrText>
        </w:r>
        <w:r w:rsidR="00094936">
          <w:rPr>
            <w:noProof/>
            <w:webHidden/>
            <w:rtl/>
          </w:rPr>
          <w:instrText xml:space="preserve"> </w:instrText>
        </w:r>
        <w:r w:rsidR="00094936">
          <w:rPr>
            <w:noProof/>
            <w:webHidden/>
            <w:rtl/>
          </w:rPr>
        </w:r>
        <w:r w:rsidR="00094936">
          <w:rPr>
            <w:noProof/>
            <w:webHidden/>
            <w:rtl/>
          </w:rPr>
          <w:fldChar w:fldCharType="separate"/>
        </w:r>
        <w:r>
          <w:rPr>
            <w:noProof/>
            <w:webHidden/>
            <w:rtl/>
          </w:rPr>
          <w:t>3</w:t>
        </w:r>
        <w:r w:rsidR="00094936">
          <w:rPr>
            <w:noProof/>
            <w:webHidden/>
            <w:rtl/>
          </w:rPr>
          <w:fldChar w:fldCharType="end"/>
        </w:r>
      </w:hyperlink>
    </w:p>
    <w:p w14:paraId="639D1EE0" w14:textId="76CFB204" w:rsidR="00094936" w:rsidRDefault="00EF5591">
      <w:pPr>
        <w:pStyle w:val="TOC2"/>
        <w:tabs>
          <w:tab w:val="right" w:leader="dot" w:pos="10194"/>
        </w:tabs>
        <w:rPr>
          <w:rFonts w:asciiTheme="minorHAnsi" w:eastAsiaTheme="minorEastAsia" w:hAnsiTheme="minorHAnsi" w:cstheme="minorBidi"/>
          <w:bCs w:val="0"/>
          <w:noProof/>
          <w:color w:val="auto"/>
          <w:szCs w:val="22"/>
          <w:rtl/>
          <w:lang w:bidi="ar-SA"/>
        </w:rPr>
      </w:pPr>
      <w:hyperlink w:anchor="_Toc36231073" w:history="1">
        <w:r w:rsidR="00094936" w:rsidRPr="00902F75">
          <w:rPr>
            <w:rStyle w:val="Hyperlink"/>
            <w:noProof/>
            <w:rtl/>
          </w:rPr>
          <w:t>اشکال به ا</w:t>
        </w:r>
        <w:r w:rsidR="00094936" w:rsidRPr="00902F75">
          <w:rPr>
            <w:rStyle w:val="Hyperlink"/>
            <w:rFonts w:hint="cs"/>
            <w:noProof/>
            <w:rtl/>
          </w:rPr>
          <w:t>ی</w:t>
        </w:r>
        <w:r w:rsidR="00094936" w:rsidRPr="00902F75">
          <w:rPr>
            <w:rStyle w:val="Hyperlink"/>
            <w:rFonts w:hint="eastAsia"/>
            <w:noProof/>
            <w:rtl/>
          </w:rPr>
          <w:t>ن</w:t>
        </w:r>
        <w:r w:rsidR="00094936" w:rsidRPr="00902F75">
          <w:rPr>
            <w:rStyle w:val="Hyperlink"/>
            <w:noProof/>
            <w:rtl/>
          </w:rPr>
          <w:t xml:space="preserve"> وجه</w:t>
        </w:r>
        <w:r w:rsidR="00094936">
          <w:rPr>
            <w:noProof/>
            <w:webHidden/>
            <w:rtl/>
          </w:rPr>
          <w:tab/>
        </w:r>
        <w:r w:rsidR="00094936">
          <w:rPr>
            <w:noProof/>
            <w:webHidden/>
            <w:rtl/>
          </w:rPr>
          <w:fldChar w:fldCharType="begin"/>
        </w:r>
        <w:r w:rsidR="00094936">
          <w:rPr>
            <w:noProof/>
            <w:webHidden/>
            <w:rtl/>
          </w:rPr>
          <w:instrText xml:space="preserve"> </w:instrText>
        </w:r>
        <w:r w:rsidR="00094936">
          <w:rPr>
            <w:noProof/>
            <w:webHidden/>
          </w:rPr>
          <w:instrText>PAGEREF</w:instrText>
        </w:r>
        <w:r w:rsidR="00094936">
          <w:rPr>
            <w:noProof/>
            <w:webHidden/>
            <w:rtl/>
          </w:rPr>
          <w:instrText xml:space="preserve"> _</w:instrText>
        </w:r>
        <w:r w:rsidR="00094936">
          <w:rPr>
            <w:noProof/>
            <w:webHidden/>
          </w:rPr>
          <w:instrText>Toc</w:instrText>
        </w:r>
        <w:r w:rsidR="00094936">
          <w:rPr>
            <w:noProof/>
            <w:webHidden/>
            <w:rtl/>
          </w:rPr>
          <w:instrText xml:space="preserve">36231073 </w:instrText>
        </w:r>
        <w:r w:rsidR="00094936">
          <w:rPr>
            <w:noProof/>
            <w:webHidden/>
          </w:rPr>
          <w:instrText>\h</w:instrText>
        </w:r>
        <w:r w:rsidR="00094936">
          <w:rPr>
            <w:noProof/>
            <w:webHidden/>
            <w:rtl/>
          </w:rPr>
          <w:instrText xml:space="preserve"> </w:instrText>
        </w:r>
        <w:r w:rsidR="00094936">
          <w:rPr>
            <w:noProof/>
            <w:webHidden/>
            <w:rtl/>
          </w:rPr>
        </w:r>
        <w:r w:rsidR="00094936">
          <w:rPr>
            <w:noProof/>
            <w:webHidden/>
            <w:rtl/>
          </w:rPr>
          <w:fldChar w:fldCharType="separate"/>
        </w:r>
        <w:r>
          <w:rPr>
            <w:noProof/>
            <w:webHidden/>
            <w:rtl/>
          </w:rPr>
          <w:t>3</w:t>
        </w:r>
        <w:r w:rsidR="00094936">
          <w:rPr>
            <w:noProof/>
            <w:webHidden/>
            <w:rtl/>
          </w:rPr>
          <w:fldChar w:fldCharType="end"/>
        </w:r>
      </w:hyperlink>
    </w:p>
    <w:p w14:paraId="5249AB37" w14:textId="1DB652B7" w:rsidR="00C91EB6" w:rsidRPr="00C91EB6" w:rsidRDefault="00A01522" w:rsidP="00C91EB6">
      <w:r>
        <w:rPr>
          <w:rFonts w:cs="B Titr"/>
          <w:noProof/>
          <w:webHidden/>
          <w:color w:val="632423" w:themeColor="accent2" w:themeShade="80"/>
          <w:szCs w:val="24"/>
          <w:rtl/>
        </w:rPr>
        <w:fldChar w:fldCharType="end"/>
      </w:r>
    </w:p>
    <w:p w14:paraId="6F3A4295"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4309C">
        <w:rPr>
          <w:rtl/>
        </w:rPr>
        <w:t>شروط قاض</w:t>
      </w:r>
      <w:r w:rsidR="0024309C">
        <w:rPr>
          <w:rFonts w:hint="cs"/>
          <w:rtl/>
        </w:rPr>
        <w:t>ی</w:t>
      </w:r>
      <w:r w:rsidR="00025B70">
        <w:rPr>
          <w:rFonts w:hint="cs"/>
          <w:rtl/>
        </w:rPr>
        <w:t xml:space="preserve"> </w:t>
      </w:r>
      <w:r w:rsidR="00386C11" w:rsidRPr="00A6366F">
        <w:rPr>
          <w:rFonts w:hint="cs"/>
          <w:rtl/>
        </w:rPr>
        <w:t>/</w:t>
      </w:r>
      <w:bookmarkStart w:id="1" w:name="BokSabj_d"/>
      <w:bookmarkEnd w:id="1"/>
      <w:r w:rsidR="0024309C">
        <w:rPr>
          <w:rtl/>
        </w:rPr>
        <w:t>القضا</w:t>
      </w:r>
      <w:r w:rsidR="00386C11" w:rsidRPr="00A6366F">
        <w:rPr>
          <w:rFonts w:hint="cs"/>
          <w:rtl/>
        </w:rPr>
        <w:t xml:space="preserve"> /</w:t>
      </w:r>
      <w:bookmarkStart w:id="2" w:name="Bokkolli"/>
      <w:bookmarkEnd w:id="2"/>
      <w:r w:rsidR="0024309C">
        <w:rPr>
          <w:rtl/>
        </w:rPr>
        <w:t>کتاب القضا</w:t>
      </w:r>
      <w:r w:rsidR="001B6799" w:rsidRPr="00A6366F">
        <w:rPr>
          <w:rFonts w:hint="cs"/>
          <w:rtl/>
        </w:rPr>
        <w:t xml:space="preserve"> </w:t>
      </w:r>
    </w:p>
    <w:p w14:paraId="291933A9"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40CE5170" w14:textId="720F419B" w:rsidR="00913F75" w:rsidRPr="00DD28A3" w:rsidRDefault="00913F75" w:rsidP="00913F75">
      <w:pPr>
        <w:jc w:val="both"/>
        <w:rPr>
          <w:sz w:val="28"/>
          <w:rtl/>
        </w:rPr>
      </w:pPr>
      <w:r w:rsidRPr="00DD28A3">
        <w:rPr>
          <w:rFonts w:hint="cs"/>
          <w:sz w:val="28"/>
          <w:rtl/>
        </w:rPr>
        <w:t>بحث ما در اشتراط بلوغ در قاضی بود. یکی از وجوهی که</w:t>
      </w:r>
      <w:r w:rsidR="004133DD">
        <w:rPr>
          <w:rFonts w:hint="cs"/>
          <w:sz w:val="28"/>
          <w:rtl/>
        </w:rPr>
        <w:t xml:space="preserve"> برای این شرط</w:t>
      </w:r>
      <w:r w:rsidRPr="00DD28A3">
        <w:rPr>
          <w:rFonts w:hint="cs"/>
          <w:sz w:val="28"/>
          <w:rtl/>
        </w:rPr>
        <w:t xml:space="preserve"> مطرح شد </w:t>
      </w:r>
      <w:r w:rsidR="004133DD">
        <w:rPr>
          <w:rFonts w:hint="cs"/>
          <w:sz w:val="28"/>
          <w:rtl/>
        </w:rPr>
        <w:t>قاعده</w:t>
      </w:r>
      <w:r w:rsidRPr="00DD28A3">
        <w:rPr>
          <w:rFonts w:hint="cs"/>
          <w:sz w:val="28"/>
          <w:rtl/>
        </w:rPr>
        <w:t xml:space="preserve"> مسلوب العباره بودن صبی بود. گفتیم این قاعده در متن روایات نیامده </w:t>
      </w:r>
      <w:r w:rsidR="000B6B9A">
        <w:rPr>
          <w:rFonts w:hint="cs"/>
          <w:sz w:val="28"/>
          <w:rtl/>
        </w:rPr>
        <w:t>اما</w:t>
      </w:r>
      <w:r w:rsidRPr="00DD28A3">
        <w:rPr>
          <w:rFonts w:hint="cs"/>
          <w:sz w:val="28"/>
          <w:rtl/>
        </w:rPr>
        <w:t xml:space="preserve"> از بعضی روایات</w:t>
      </w:r>
      <w:r w:rsidR="000B6B9A">
        <w:rPr>
          <w:rFonts w:hint="cs"/>
          <w:sz w:val="28"/>
          <w:rtl/>
        </w:rPr>
        <w:t xml:space="preserve"> قابل استفاده</w:t>
      </w:r>
      <w:r w:rsidRPr="00DD28A3">
        <w:rPr>
          <w:rFonts w:hint="cs"/>
          <w:sz w:val="28"/>
          <w:rtl/>
        </w:rPr>
        <w:t xml:space="preserve"> است. یکی از روایاتی که به عنوان مدرک این قاعده قرار </w:t>
      </w:r>
      <w:r w:rsidR="00964D5B">
        <w:rPr>
          <w:rFonts w:hint="cs"/>
          <w:sz w:val="28"/>
          <w:rtl/>
        </w:rPr>
        <w:t>گرفت</w:t>
      </w:r>
      <w:r w:rsidRPr="00DD28A3">
        <w:rPr>
          <w:rFonts w:hint="cs"/>
          <w:sz w:val="28"/>
          <w:rtl/>
        </w:rPr>
        <w:t xml:space="preserve"> معتبره عبد الله بن سنان بود</w:t>
      </w:r>
      <w:r w:rsidR="00964D5B">
        <w:rPr>
          <w:rFonts w:hint="cs"/>
          <w:sz w:val="28"/>
          <w:rtl/>
        </w:rPr>
        <w:t xml:space="preserve"> اما</w:t>
      </w:r>
      <w:r w:rsidRPr="00DD28A3">
        <w:rPr>
          <w:rFonts w:hint="cs"/>
          <w:sz w:val="28"/>
          <w:rtl/>
        </w:rPr>
        <w:t xml:space="preserve"> گفتیم مستفاد از این روایت مسلوب الولایه </w:t>
      </w:r>
      <w:r w:rsidR="00324A9B">
        <w:rPr>
          <w:rFonts w:hint="cs"/>
          <w:sz w:val="28"/>
          <w:rtl/>
        </w:rPr>
        <w:t xml:space="preserve">بودن </w:t>
      </w:r>
      <w:r w:rsidR="00324A9B" w:rsidRPr="00DD28A3">
        <w:rPr>
          <w:rFonts w:hint="cs"/>
          <w:sz w:val="28"/>
          <w:rtl/>
        </w:rPr>
        <w:t xml:space="preserve">صبی </w:t>
      </w:r>
      <w:r w:rsidRPr="00DD28A3">
        <w:rPr>
          <w:rFonts w:hint="cs"/>
          <w:sz w:val="28"/>
          <w:rtl/>
        </w:rPr>
        <w:t>است</w:t>
      </w:r>
      <w:r w:rsidR="00964D5B">
        <w:rPr>
          <w:rFonts w:hint="cs"/>
          <w:sz w:val="28"/>
          <w:rtl/>
        </w:rPr>
        <w:t xml:space="preserve"> نه مسلوب </w:t>
      </w:r>
      <w:r w:rsidR="00964D5B" w:rsidRPr="00DD28A3">
        <w:rPr>
          <w:rFonts w:hint="cs"/>
          <w:sz w:val="28"/>
          <w:rtl/>
        </w:rPr>
        <w:t>العباره بودن</w:t>
      </w:r>
      <w:r w:rsidR="00964D5B">
        <w:rPr>
          <w:rFonts w:hint="cs"/>
          <w:sz w:val="28"/>
          <w:rtl/>
        </w:rPr>
        <w:t>،</w:t>
      </w:r>
      <w:r w:rsidRPr="00DD28A3">
        <w:rPr>
          <w:rFonts w:hint="cs"/>
          <w:sz w:val="28"/>
          <w:rtl/>
        </w:rPr>
        <w:t xml:space="preserve"> </w:t>
      </w:r>
      <w:r w:rsidR="00324A9B">
        <w:rPr>
          <w:rFonts w:hint="cs"/>
          <w:sz w:val="28"/>
          <w:rtl/>
        </w:rPr>
        <w:t>که</w:t>
      </w:r>
      <w:r w:rsidRPr="00DD28A3">
        <w:rPr>
          <w:rFonts w:hint="cs"/>
          <w:sz w:val="28"/>
          <w:rtl/>
        </w:rPr>
        <w:t xml:space="preserve"> از تطبیقات </w:t>
      </w:r>
      <w:r w:rsidR="00324A9B">
        <w:rPr>
          <w:rFonts w:hint="cs"/>
          <w:sz w:val="28"/>
          <w:rtl/>
        </w:rPr>
        <w:t xml:space="preserve">آن، </w:t>
      </w:r>
      <w:r w:rsidRPr="00DD28A3">
        <w:rPr>
          <w:rFonts w:hint="cs"/>
          <w:sz w:val="28"/>
          <w:rtl/>
        </w:rPr>
        <w:t>بحث قضا و ولایت فقیه است</w:t>
      </w:r>
      <w:r w:rsidR="00DF0B9F">
        <w:rPr>
          <w:rFonts w:hint="cs"/>
          <w:sz w:val="28"/>
          <w:rtl/>
        </w:rPr>
        <w:t xml:space="preserve"> و</w:t>
      </w:r>
      <w:r w:rsidRPr="00DD28A3">
        <w:rPr>
          <w:rFonts w:hint="cs"/>
          <w:sz w:val="28"/>
          <w:rtl/>
        </w:rPr>
        <w:t xml:space="preserve"> جعل ولایات </w:t>
      </w:r>
      <w:r w:rsidR="00DF0B9F">
        <w:rPr>
          <w:rFonts w:hint="cs"/>
          <w:sz w:val="28"/>
          <w:rtl/>
        </w:rPr>
        <w:t xml:space="preserve">-حتی به ملاک حسبه- </w:t>
      </w:r>
      <w:r w:rsidRPr="00DD28A3">
        <w:rPr>
          <w:rFonts w:hint="cs"/>
          <w:sz w:val="28"/>
          <w:rtl/>
        </w:rPr>
        <w:t xml:space="preserve">مشروط به بلوغ است. </w:t>
      </w:r>
    </w:p>
    <w:p w14:paraId="46170D81" w14:textId="123A11B6" w:rsidR="00913F75" w:rsidRPr="00DD28A3" w:rsidRDefault="00072350" w:rsidP="00913F75">
      <w:pPr>
        <w:pStyle w:val="Heading1"/>
        <w:rPr>
          <w:rtl/>
        </w:rPr>
      </w:pPr>
      <w:bookmarkStart w:id="4" w:name="_Toc36231071"/>
      <w:r>
        <w:rPr>
          <w:rFonts w:hint="cs"/>
          <w:rtl/>
        </w:rPr>
        <w:t>مسلوب</w:t>
      </w:r>
      <w:r w:rsidR="00913F75" w:rsidRPr="00DD28A3">
        <w:rPr>
          <w:rFonts w:hint="cs"/>
          <w:rtl/>
        </w:rPr>
        <w:t xml:space="preserve"> </w:t>
      </w:r>
      <w:r>
        <w:rPr>
          <w:rFonts w:hint="cs"/>
          <w:rtl/>
        </w:rPr>
        <w:t>ال</w:t>
      </w:r>
      <w:r w:rsidR="00913F75" w:rsidRPr="00DD28A3">
        <w:rPr>
          <w:rFonts w:hint="cs"/>
          <w:rtl/>
        </w:rPr>
        <w:t>ولای</w:t>
      </w:r>
      <w:r>
        <w:rPr>
          <w:rFonts w:hint="cs"/>
          <w:rtl/>
        </w:rPr>
        <w:t>ه بودن</w:t>
      </w:r>
      <w:r w:rsidR="00913F75" w:rsidRPr="00DD28A3">
        <w:rPr>
          <w:rFonts w:hint="cs"/>
          <w:rtl/>
        </w:rPr>
        <w:t xml:space="preserve"> صبی</w:t>
      </w:r>
      <w:bookmarkEnd w:id="4"/>
    </w:p>
    <w:p w14:paraId="7D6DE334" w14:textId="23F6226C" w:rsidR="00913F75" w:rsidRPr="00DD28A3" w:rsidRDefault="00DF0B9F" w:rsidP="00913F75">
      <w:pPr>
        <w:jc w:val="both"/>
        <w:rPr>
          <w:sz w:val="28"/>
          <w:rtl/>
        </w:rPr>
      </w:pPr>
      <w:r w:rsidRPr="00DD28A3">
        <w:rPr>
          <w:rFonts w:hint="cs"/>
          <w:sz w:val="28"/>
          <w:rtl/>
        </w:rPr>
        <w:t>تعبیر عدم نفوذ امر در رو</w:t>
      </w:r>
      <w:r>
        <w:rPr>
          <w:rFonts w:hint="cs"/>
          <w:sz w:val="28"/>
          <w:rtl/>
        </w:rPr>
        <w:t>ا</w:t>
      </w:r>
      <w:r w:rsidRPr="00DD28A3">
        <w:rPr>
          <w:rFonts w:hint="cs"/>
          <w:sz w:val="28"/>
          <w:rtl/>
        </w:rPr>
        <w:t xml:space="preserve">یات دیگری نیز بیان شده است. </w:t>
      </w:r>
      <w:r w:rsidR="00913F75" w:rsidRPr="00DD28A3">
        <w:rPr>
          <w:rFonts w:hint="cs"/>
          <w:sz w:val="28"/>
          <w:rtl/>
        </w:rPr>
        <w:t>مراد از «لا یجوز امره» در این روایات</w:t>
      </w:r>
      <w:r>
        <w:rPr>
          <w:rFonts w:hint="cs"/>
          <w:sz w:val="28"/>
          <w:rtl/>
        </w:rPr>
        <w:t>،</w:t>
      </w:r>
      <w:r w:rsidR="00913F75" w:rsidRPr="00DD28A3">
        <w:rPr>
          <w:rFonts w:hint="cs"/>
          <w:sz w:val="28"/>
          <w:rtl/>
        </w:rPr>
        <w:t xml:space="preserve"> «لا تصح معاملاته» نیست بلکه به معنای عدم نفوذ ولایت است</w:t>
      </w:r>
      <w:r>
        <w:rPr>
          <w:rFonts w:hint="cs"/>
          <w:sz w:val="28"/>
          <w:rtl/>
        </w:rPr>
        <w:t xml:space="preserve">. </w:t>
      </w:r>
      <w:r w:rsidR="00913F75" w:rsidRPr="00DD28A3">
        <w:rPr>
          <w:rFonts w:hint="cs"/>
          <w:sz w:val="28"/>
          <w:rtl/>
        </w:rPr>
        <w:t>ترکیب</w:t>
      </w:r>
      <w:r>
        <w:rPr>
          <w:rFonts w:hint="cs"/>
          <w:sz w:val="28"/>
          <w:rtl/>
        </w:rPr>
        <w:t xml:space="preserve"> </w:t>
      </w:r>
      <w:r w:rsidR="00913F75" w:rsidRPr="00DD28A3">
        <w:rPr>
          <w:rFonts w:hint="cs"/>
          <w:sz w:val="28"/>
          <w:rtl/>
        </w:rPr>
        <w:t xml:space="preserve">«لا یجوز امره» در استعمالات مختلف مساعد با </w:t>
      </w:r>
      <w:r>
        <w:rPr>
          <w:rFonts w:hint="cs"/>
          <w:sz w:val="28"/>
          <w:rtl/>
        </w:rPr>
        <w:t xml:space="preserve">همین </w:t>
      </w:r>
      <w:r w:rsidR="00913F75" w:rsidRPr="00DD28A3">
        <w:rPr>
          <w:rFonts w:hint="cs"/>
          <w:sz w:val="28"/>
          <w:rtl/>
        </w:rPr>
        <w:t xml:space="preserve">معنای </w:t>
      </w:r>
      <w:r w:rsidRPr="00DD28A3">
        <w:rPr>
          <w:rFonts w:hint="cs"/>
          <w:sz w:val="28"/>
          <w:rtl/>
        </w:rPr>
        <w:t xml:space="preserve">عدم نفوذ ولایت </w:t>
      </w:r>
      <w:r w:rsidR="00913F75" w:rsidRPr="00DD28A3">
        <w:rPr>
          <w:rFonts w:hint="cs"/>
          <w:sz w:val="28"/>
          <w:rtl/>
        </w:rPr>
        <w:t>است</w:t>
      </w:r>
      <w:r>
        <w:rPr>
          <w:rFonts w:hint="cs"/>
          <w:sz w:val="28"/>
          <w:rtl/>
        </w:rPr>
        <w:t>، زیرا</w:t>
      </w:r>
      <w:r w:rsidR="00913F75" w:rsidRPr="00DD28A3">
        <w:rPr>
          <w:rFonts w:hint="cs"/>
          <w:sz w:val="28"/>
          <w:rtl/>
        </w:rPr>
        <w:t xml:space="preserve"> با این بیانی که از روایت گفتیم محذوراتی</w:t>
      </w:r>
      <w:r w:rsidRPr="00DF0B9F">
        <w:rPr>
          <w:rFonts w:hint="cs"/>
          <w:sz w:val="28"/>
          <w:rtl/>
        </w:rPr>
        <w:t xml:space="preserve"> </w:t>
      </w:r>
      <w:r w:rsidRPr="00DD28A3">
        <w:rPr>
          <w:rFonts w:hint="cs"/>
          <w:sz w:val="28"/>
          <w:rtl/>
        </w:rPr>
        <w:t>مانند عدم مشروعیت عبادات صبی، ملغی بودن فعل صبی، عدم نفوذ وکالت او و امثال این موارد</w:t>
      </w:r>
      <w:r w:rsidR="00913F75" w:rsidRPr="00DD28A3">
        <w:rPr>
          <w:rFonts w:hint="cs"/>
          <w:sz w:val="28"/>
          <w:rtl/>
        </w:rPr>
        <w:t xml:space="preserve"> که برای این روایات بیان شده است اتفاق نمی افتد</w:t>
      </w:r>
      <w:r>
        <w:rPr>
          <w:rFonts w:hint="cs"/>
          <w:sz w:val="28"/>
          <w:rtl/>
        </w:rPr>
        <w:t>،</w:t>
      </w:r>
      <w:r w:rsidR="00913F75" w:rsidRPr="00DD28A3">
        <w:rPr>
          <w:rFonts w:hint="cs"/>
          <w:sz w:val="28"/>
          <w:rtl/>
        </w:rPr>
        <w:t xml:space="preserve"> چون با این معنایی که ذکر شد، تخصیصی در این روایت نسبت به صحت عقود و ایقاعات و ایمان و معاملات صبی، رخ نمی دهد.</w:t>
      </w:r>
    </w:p>
    <w:p w14:paraId="7BB23DD2" w14:textId="08C7007A" w:rsidR="00913F75" w:rsidRPr="00DD28A3" w:rsidRDefault="004133DD" w:rsidP="00913F75">
      <w:pPr>
        <w:jc w:val="both"/>
        <w:rPr>
          <w:sz w:val="28"/>
          <w:rtl/>
        </w:rPr>
      </w:pPr>
      <w:r>
        <w:rPr>
          <w:rFonts w:hint="cs"/>
          <w:sz w:val="28"/>
          <w:rtl/>
        </w:rPr>
        <w:t xml:space="preserve">در ادامه </w:t>
      </w:r>
      <w:r w:rsidR="00913F75" w:rsidRPr="00DD28A3">
        <w:rPr>
          <w:rFonts w:hint="cs"/>
          <w:sz w:val="28"/>
          <w:rtl/>
        </w:rPr>
        <w:t xml:space="preserve">عده ای از تطبیقات این قاعده یعنی قاعده عدم نفوذ ولایت صبی که در روایات مطرح شده است بیان می شود. </w:t>
      </w:r>
    </w:p>
    <w:p w14:paraId="7FFA8BE9" w14:textId="6170DDB6" w:rsidR="00913F75" w:rsidRPr="00DD28A3" w:rsidRDefault="00913F75" w:rsidP="00913F75">
      <w:pPr>
        <w:pStyle w:val="NormalWeb"/>
        <w:bidi/>
        <w:jc w:val="both"/>
        <w:rPr>
          <w:rFonts w:cs="B Badr"/>
          <w:sz w:val="28"/>
          <w:szCs w:val="28"/>
          <w:rtl/>
        </w:rPr>
      </w:pPr>
      <w:r w:rsidRPr="00DD28A3">
        <w:rPr>
          <w:rFonts w:cs="B Badr" w:hint="cs"/>
          <w:sz w:val="28"/>
          <w:szCs w:val="28"/>
          <w:rtl/>
        </w:rPr>
        <w:t>یکی از این تطبیقات روایت حمزة بن حمران است که در آن آمده است</w:t>
      </w:r>
      <w:r w:rsidR="00846019">
        <w:rPr>
          <w:rFonts w:cs="B Badr" w:hint="cs"/>
          <w:sz w:val="28"/>
          <w:szCs w:val="28"/>
          <w:rtl/>
        </w:rPr>
        <w:t>:</w:t>
      </w:r>
      <w:r w:rsidRPr="00DD28A3">
        <w:rPr>
          <w:rFonts w:cs="B Badr" w:hint="cs"/>
          <w:sz w:val="28"/>
          <w:szCs w:val="28"/>
          <w:rtl/>
        </w:rPr>
        <w:t xml:space="preserve"> «</w:t>
      </w:r>
      <w:r w:rsidRPr="00913F75">
        <w:rPr>
          <w:rFonts w:ascii="Calibri" w:eastAsia="Calibri" w:hAnsi="Calibri" w:cs="B Badr" w:hint="cs"/>
          <w:sz w:val="22"/>
          <w:szCs w:val="28"/>
          <w:rtl/>
        </w:rPr>
        <w:t xml:space="preserve">مُحَمَّدُ بْنُ يَحْيَى عَنْ أَحْمَدَ بْنِ مُحَمَّدٍ عَنِ ابْنِ مَحْبُوبٍ عَنْ عَبْدِ الْعَزِيزِ الْعَبْدِيِّ عَنْ حَمْزَةَ بْنِ حُمْرَانَ عَنْ حُمْرَانَ قَالَ: </w:t>
      </w:r>
      <w:r w:rsidRPr="00913F75">
        <w:rPr>
          <w:rFonts w:ascii="Calibri" w:eastAsia="Calibri" w:hAnsi="Calibri" w:cs="B Badr" w:hint="cs"/>
          <w:color w:val="008000"/>
          <w:sz w:val="22"/>
          <w:szCs w:val="28"/>
          <w:rtl/>
        </w:rPr>
        <w:t>سَأَلْتُ أَبَا جَعْفَرٍ ع قُلْتُ لَهُ مَتَى يَجِبُ عَلَى الْغُلَامِ أَنْ يُؤْخَذَ بِالْحُدُودِ التَّامَّةِ وَ تُقَامَ عَلَيْهِ وَ يُؤْخَذَ بِهَا فَقَالَ إِذَا خَرَجَ عَنْهُ الْيُتْمُ وَ أَدْرَكَ قُلْتُ فَلِذَلِكَ حَدٌّ يُعْرَفُ بِهِ فَقَالَ إِذَا احْتَلَمَ أَوْ بَلَغَ خَمْسَ عَشْرَةَ سَنَةً أَوْ أَشْعَرَ أَوْ أَنْبَتَ قَبْلَ ذَلِكَ أُقِيمَتْ عَلَيْهِ الْحُدُودُ التَّامَّةُ وَ أُخِذَ بِهَا وَ أُخِذَتْ لَهُ قُلْتُ فَالْجَارِيَةُ مَتَى تَجِبُ عَلَيْهَا الْحُدُودُ التَّامَّةُ وَ تُؤْخَذُ لَهَا وَ</w:t>
      </w:r>
      <w:r w:rsidRPr="00913F75">
        <w:rPr>
          <w:rFonts w:ascii="Calibri" w:eastAsia="Calibri" w:hAnsi="Calibri" w:cs="B Badr" w:hint="cs"/>
          <w:color w:val="008000"/>
          <w:sz w:val="22"/>
          <w:szCs w:val="28"/>
        </w:rPr>
        <w:t>‌</w:t>
      </w:r>
      <w:r w:rsidRPr="00913F75">
        <w:rPr>
          <w:rFonts w:ascii="Calibri" w:eastAsia="Calibri" w:hAnsi="Calibri" w:cs="B Badr" w:hint="cs"/>
          <w:color w:val="008000"/>
          <w:sz w:val="22"/>
          <w:szCs w:val="28"/>
          <w:rtl/>
        </w:rPr>
        <w:t xml:space="preserve"> </w:t>
      </w:r>
      <w:r w:rsidRPr="009148BA">
        <w:rPr>
          <w:rFonts w:ascii="Calibri" w:eastAsia="Calibri" w:hAnsi="Calibri" w:cs="B Badr" w:hint="cs"/>
          <w:color w:val="008000"/>
          <w:sz w:val="22"/>
          <w:szCs w:val="28"/>
          <w:rtl/>
        </w:rPr>
        <w:t xml:space="preserve">يُؤْخَذُ بِهَا قَالَ إِنَّ الْجَارِيَةَ لَيْسَتْ مِثْلَ الْغُلَامِ إِنَّ الْجَارِيَةَ إِذَا تَزَوَّجَتْ وَ دُخِلَ بِهَا وَ لَهَا تِسْعُ سِنِينَ ذَهَبَ عَنْهَا الْيُتْمُ وَ دُفِعَ إِلَيْهَا </w:t>
      </w:r>
      <w:r w:rsidRPr="009148BA">
        <w:rPr>
          <w:rFonts w:ascii="Calibri" w:eastAsia="Calibri" w:hAnsi="Calibri" w:cs="B Badr" w:hint="cs"/>
          <w:color w:val="008000"/>
          <w:sz w:val="22"/>
          <w:szCs w:val="28"/>
          <w:rtl/>
        </w:rPr>
        <w:lastRenderedPageBreak/>
        <w:t>مَالُهَا وَ جَازَ أَمْرُهَا فِي الشِّرَاءِ وَ الْبَيْعِ وَ أُقِيمَتْ عَلَيْهَا الْحُدُودُ التَّامَّةُ وَ أُخِذَ لَهَا بِهَا قَالَ وَ الْغُلَامُ لَا يَجُوزُ أَمْرُهُ فِي الشِّرَاءِ وَ الْبَيْعِ وَ لَا يَخْرُجُ مِنَ الْيُتْمِ حَتَّى يَبْلُغَ خَمْسَ عَشْرَةَ سَنَةً أَوْ يَحْتَلِمَ أَوْ يُشْعِرَ أَوْ يُنْبِتَ قَبْلَ ذَلِكَ</w:t>
      </w:r>
      <w:r w:rsidRPr="00DD28A3">
        <w:rPr>
          <w:rFonts w:cs="B Badr" w:hint="cs"/>
          <w:sz w:val="28"/>
          <w:szCs w:val="28"/>
          <w:rtl/>
        </w:rPr>
        <w:t>»</w:t>
      </w:r>
      <w:r>
        <w:rPr>
          <w:rStyle w:val="FootnoteReference"/>
          <w:rFonts w:cs="B Badr"/>
          <w:sz w:val="28"/>
          <w:szCs w:val="28"/>
          <w:rtl/>
        </w:rPr>
        <w:footnoteReference w:id="1"/>
      </w:r>
    </w:p>
    <w:p w14:paraId="3EA51E3D" w14:textId="04BF77C4" w:rsidR="00913F75" w:rsidRPr="00DD28A3" w:rsidRDefault="00913F75" w:rsidP="00094936">
      <w:pPr>
        <w:pStyle w:val="NormalWeb"/>
        <w:bidi/>
        <w:jc w:val="both"/>
        <w:rPr>
          <w:rFonts w:cs="B Badr"/>
          <w:sz w:val="28"/>
          <w:szCs w:val="28"/>
          <w:rtl/>
        </w:rPr>
      </w:pPr>
      <w:r w:rsidRPr="00DD28A3">
        <w:rPr>
          <w:rFonts w:cs="B Badr" w:hint="cs"/>
          <w:sz w:val="28"/>
          <w:szCs w:val="28"/>
          <w:rtl/>
        </w:rPr>
        <w:t>مراد از اینکه  حضرت فرمودند «</w:t>
      </w:r>
      <w:r w:rsidRPr="009148BA">
        <w:rPr>
          <w:rFonts w:ascii="Noor_Lotus" w:hAnsi="Noor_Lotus" w:cs="B Badr" w:hint="cs"/>
          <w:color w:val="008000"/>
          <w:sz w:val="28"/>
          <w:szCs w:val="28"/>
          <w:rtl/>
        </w:rPr>
        <w:t>إِنَّ الْجَارِيَةَ إِذَا تَزَوَّجَتْ وَ دُخِلَ بِهَا وَ لَهَا تِسْعُ سِنِينَ ذَهَبَ عَنْهَا الْيُتْمُ</w:t>
      </w:r>
      <w:r w:rsidRPr="00DD28A3">
        <w:rPr>
          <w:rFonts w:cs="B Badr" w:hint="cs"/>
          <w:sz w:val="28"/>
          <w:szCs w:val="28"/>
          <w:rtl/>
        </w:rPr>
        <w:t>» این است که وقتی به سن بلوغ رسید دیگر از یتیم بودن خارج می شود و محجوریت یتیم بودن را ندارد. مراد از</w:t>
      </w:r>
      <w:r w:rsidR="00846019">
        <w:rPr>
          <w:rFonts w:cs="B Badr" w:hint="cs"/>
          <w:sz w:val="28"/>
          <w:szCs w:val="28"/>
          <w:rtl/>
        </w:rPr>
        <w:t xml:space="preserve"> </w:t>
      </w:r>
      <w:r w:rsidRPr="00DD28A3">
        <w:rPr>
          <w:rFonts w:cs="B Badr" w:hint="cs"/>
          <w:sz w:val="28"/>
          <w:szCs w:val="28"/>
          <w:rtl/>
        </w:rPr>
        <w:t>«</w:t>
      </w:r>
      <w:r w:rsidRPr="009148BA">
        <w:rPr>
          <w:rFonts w:ascii="Noor_Lotus" w:hAnsi="Noor_Lotus" w:cs="B Badr" w:hint="cs"/>
          <w:color w:val="008000"/>
          <w:sz w:val="28"/>
          <w:szCs w:val="28"/>
          <w:rtl/>
        </w:rPr>
        <w:t>تَزَوَّجَتْ وَ دُخِلَ بِهَا</w:t>
      </w:r>
      <w:r w:rsidRPr="00DD28A3">
        <w:rPr>
          <w:rFonts w:cs="B Badr" w:hint="cs"/>
          <w:sz w:val="28"/>
          <w:szCs w:val="28"/>
          <w:rtl/>
        </w:rPr>
        <w:t>»، اهلیت برای ازدواج و دخول است</w:t>
      </w:r>
      <w:r w:rsidR="007F5FC5">
        <w:rPr>
          <w:rFonts w:cs="B Badr" w:hint="cs"/>
          <w:sz w:val="28"/>
          <w:szCs w:val="28"/>
          <w:rtl/>
        </w:rPr>
        <w:t>، زیرا</w:t>
      </w:r>
      <w:r w:rsidRPr="00DD28A3">
        <w:rPr>
          <w:rFonts w:cs="B Badr" w:hint="cs"/>
          <w:sz w:val="28"/>
          <w:szCs w:val="28"/>
          <w:rtl/>
        </w:rPr>
        <w:t xml:space="preserve"> زوجیت و دخول از نظر فقهی دخیل در صحت معاملات نیست. شاهد ما </w:t>
      </w:r>
      <w:r w:rsidR="007F5FC5">
        <w:rPr>
          <w:rFonts w:cs="B Badr" w:hint="cs"/>
          <w:sz w:val="28"/>
          <w:szCs w:val="28"/>
          <w:rtl/>
        </w:rPr>
        <w:t xml:space="preserve">در این روایت، </w:t>
      </w:r>
      <w:r w:rsidRPr="00DD28A3">
        <w:rPr>
          <w:rFonts w:cs="B Badr" w:hint="cs"/>
          <w:sz w:val="28"/>
          <w:szCs w:val="28"/>
          <w:rtl/>
        </w:rPr>
        <w:t>فقره «</w:t>
      </w:r>
      <w:r w:rsidRPr="009148BA">
        <w:rPr>
          <w:rFonts w:ascii="Noor_Lotus" w:hAnsi="Noor_Lotus" w:cs="B Badr" w:hint="cs"/>
          <w:color w:val="008000"/>
          <w:sz w:val="28"/>
          <w:szCs w:val="28"/>
          <w:rtl/>
        </w:rPr>
        <w:t>جَازَ أَمْرُهَا فِي الشِّرَاءِ وَ الْبَيْعِ</w:t>
      </w:r>
      <w:r w:rsidRPr="00DD28A3">
        <w:rPr>
          <w:rFonts w:cs="B Badr" w:hint="cs"/>
          <w:sz w:val="28"/>
          <w:szCs w:val="28"/>
          <w:rtl/>
        </w:rPr>
        <w:t>»</w:t>
      </w:r>
      <w:r w:rsidR="007F5FC5" w:rsidRPr="007F5FC5">
        <w:rPr>
          <w:rFonts w:cs="B Badr" w:hint="cs"/>
          <w:sz w:val="28"/>
          <w:szCs w:val="28"/>
          <w:rtl/>
        </w:rPr>
        <w:t xml:space="preserve"> </w:t>
      </w:r>
      <w:r w:rsidR="007F5FC5" w:rsidRPr="00DD28A3">
        <w:rPr>
          <w:rFonts w:cs="B Badr" w:hint="cs"/>
          <w:sz w:val="28"/>
          <w:szCs w:val="28"/>
          <w:rtl/>
        </w:rPr>
        <w:t>است</w:t>
      </w:r>
      <w:r w:rsidRPr="00DD28A3">
        <w:rPr>
          <w:rFonts w:cs="B Badr" w:hint="cs"/>
          <w:sz w:val="28"/>
          <w:szCs w:val="28"/>
          <w:rtl/>
        </w:rPr>
        <w:t xml:space="preserve"> </w:t>
      </w:r>
      <w:r w:rsidR="007F5FC5">
        <w:rPr>
          <w:rFonts w:cs="B Badr" w:hint="cs"/>
          <w:sz w:val="28"/>
          <w:szCs w:val="28"/>
          <w:rtl/>
        </w:rPr>
        <w:t>که</w:t>
      </w:r>
      <w:r w:rsidRPr="00DD28A3">
        <w:rPr>
          <w:rFonts w:cs="B Badr" w:hint="cs"/>
          <w:sz w:val="28"/>
          <w:szCs w:val="28"/>
          <w:rtl/>
        </w:rPr>
        <w:t xml:space="preserve"> به معنای نفوذ ولایت است. این روایت مانند روایت ابن سنان است</w:t>
      </w:r>
      <w:r w:rsidR="007F5FC5">
        <w:rPr>
          <w:rFonts w:cs="B Badr" w:hint="cs"/>
          <w:sz w:val="28"/>
          <w:szCs w:val="28"/>
          <w:rtl/>
        </w:rPr>
        <w:t xml:space="preserve"> که</w:t>
      </w:r>
      <w:r w:rsidRPr="00DD28A3">
        <w:rPr>
          <w:rFonts w:cs="B Badr" w:hint="cs"/>
          <w:sz w:val="28"/>
          <w:szCs w:val="28"/>
          <w:rtl/>
        </w:rPr>
        <w:t xml:space="preserve"> فقط یکی از تطبیقات قاعده مسلوب الولایه بودن صبی را بیان کرده است. از این روایت نمی توان اشتراط بلوغ در قاضی </w:t>
      </w:r>
      <w:r w:rsidR="007F5FC5">
        <w:rPr>
          <w:rFonts w:cs="B Badr" w:hint="cs"/>
          <w:sz w:val="28"/>
          <w:szCs w:val="28"/>
          <w:rtl/>
        </w:rPr>
        <w:t xml:space="preserve">یا دیگر ولایات </w:t>
      </w:r>
      <w:r w:rsidR="007F5FC5" w:rsidRPr="00DD28A3">
        <w:rPr>
          <w:rFonts w:cs="B Badr" w:hint="cs"/>
          <w:sz w:val="28"/>
          <w:szCs w:val="28"/>
          <w:rtl/>
        </w:rPr>
        <w:t xml:space="preserve">را </w:t>
      </w:r>
      <w:r w:rsidRPr="00DD28A3">
        <w:rPr>
          <w:rFonts w:cs="B Badr" w:hint="cs"/>
          <w:sz w:val="28"/>
          <w:szCs w:val="28"/>
          <w:rtl/>
        </w:rPr>
        <w:t xml:space="preserve">نتیجه گرفت، ولی غرض این است که این ترکیب در معنای مستفاد از روایت عبدالله بن سنان استفاده شده است. </w:t>
      </w:r>
      <w:r w:rsidR="007F5FC5">
        <w:rPr>
          <w:rFonts w:cs="B Badr" w:hint="cs"/>
          <w:sz w:val="28"/>
          <w:szCs w:val="28"/>
          <w:rtl/>
        </w:rPr>
        <w:t xml:space="preserve">عبارت </w:t>
      </w:r>
      <w:r w:rsidR="007F5FC5" w:rsidRPr="00DD28A3">
        <w:rPr>
          <w:rFonts w:cs="B Badr" w:hint="cs"/>
          <w:sz w:val="28"/>
          <w:szCs w:val="28"/>
          <w:rtl/>
        </w:rPr>
        <w:t>«</w:t>
      </w:r>
      <w:r w:rsidR="007F5FC5" w:rsidRPr="009148BA">
        <w:rPr>
          <w:rFonts w:ascii="Noor_Lotus" w:hAnsi="Noor_Lotus" w:cs="B Badr" w:hint="cs"/>
          <w:color w:val="008000"/>
          <w:sz w:val="28"/>
          <w:szCs w:val="28"/>
          <w:rtl/>
        </w:rPr>
        <w:t>الْغُلَامُ لَا يَجُوزُ أَمْرُهُ فِي الشِّرَاءِ وَ الْبَيْعِ</w:t>
      </w:r>
      <w:r w:rsidR="007F5FC5" w:rsidRPr="00DD28A3">
        <w:rPr>
          <w:rFonts w:cs="B Badr" w:hint="cs"/>
          <w:sz w:val="28"/>
          <w:szCs w:val="28"/>
          <w:rtl/>
        </w:rPr>
        <w:t>»</w:t>
      </w:r>
      <w:r w:rsidR="007F5FC5">
        <w:rPr>
          <w:rFonts w:cs="B Badr" w:hint="cs"/>
          <w:sz w:val="28"/>
          <w:szCs w:val="28"/>
          <w:rtl/>
        </w:rPr>
        <w:t xml:space="preserve"> نیز مانند عبارت قبل است.</w:t>
      </w:r>
      <w:r w:rsidR="00094936">
        <w:rPr>
          <w:rFonts w:cs="B Badr" w:hint="cs"/>
          <w:sz w:val="28"/>
          <w:szCs w:val="28"/>
          <w:rtl/>
        </w:rPr>
        <w:t xml:space="preserve"> </w:t>
      </w:r>
      <w:r w:rsidRPr="00DD28A3">
        <w:rPr>
          <w:rFonts w:cs="B Badr" w:hint="cs"/>
          <w:sz w:val="28"/>
          <w:szCs w:val="28"/>
          <w:rtl/>
        </w:rPr>
        <w:t xml:space="preserve">اطلاق </w:t>
      </w:r>
      <w:r w:rsidR="007F5FC5" w:rsidRPr="00DD28A3">
        <w:rPr>
          <w:rFonts w:cs="B Badr" w:hint="cs"/>
          <w:sz w:val="28"/>
          <w:szCs w:val="28"/>
          <w:rtl/>
        </w:rPr>
        <w:t xml:space="preserve">روایت </w:t>
      </w:r>
      <w:r w:rsidR="007F5FC5">
        <w:rPr>
          <w:rFonts w:cs="B Badr" w:hint="cs"/>
          <w:sz w:val="28"/>
          <w:szCs w:val="28"/>
          <w:rtl/>
        </w:rPr>
        <w:t xml:space="preserve">در </w:t>
      </w:r>
      <w:r w:rsidRPr="00DD28A3">
        <w:rPr>
          <w:rFonts w:cs="B Badr" w:hint="cs"/>
          <w:sz w:val="28"/>
          <w:szCs w:val="28"/>
          <w:rtl/>
        </w:rPr>
        <w:t xml:space="preserve">این </w:t>
      </w:r>
      <w:r w:rsidR="007F5FC5">
        <w:rPr>
          <w:rFonts w:cs="B Badr" w:hint="cs"/>
          <w:sz w:val="28"/>
          <w:szCs w:val="28"/>
          <w:rtl/>
        </w:rPr>
        <w:t xml:space="preserve">دو </w:t>
      </w:r>
      <w:r w:rsidRPr="00DD28A3">
        <w:rPr>
          <w:rFonts w:cs="B Badr" w:hint="cs"/>
          <w:sz w:val="28"/>
          <w:szCs w:val="28"/>
          <w:rtl/>
        </w:rPr>
        <w:t>فقره اقتضاء می کند محجوریت صبی محدود به تصرف</w:t>
      </w:r>
      <w:r w:rsidR="007F5FC5">
        <w:rPr>
          <w:rFonts w:cs="B Badr" w:hint="cs"/>
          <w:sz w:val="28"/>
          <w:szCs w:val="28"/>
          <w:rtl/>
        </w:rPr>
        <w:t xml:space="preserve"> در</w:t>
      </w:r>
      <w:r w:rsidRPr="00DD28A3">
        <w:rPr>
          <w:rFonts w:cs="B Badr" w:hint="cs"/>
          <w:sz w:val="28"/>
          <w:szCs w:val="28"/>
          <w:rtl/>
        </w:rPr>
        <w:t xml:space="preserve"> اموال عینی</w:t>
      </w:r>
      <w:r w:rsidR="007F5FC5">
        <w:rPr>
          <w:rFonts w:cs="B Badr" w:hint="cs"/>
          <w:sz w:val="28"/>
          <w:szCs w:val="28"/>
          <w:rtl/>
        </w:rPr>
        <w:t xml:space="preserve"> و مملوک فعلی او</w:t>
      </w:r>
      <w:r w:rsidRPr="00DD28A3">
        <w:rPr>
          <w:rFonts w:cs="B Badr" w:hint="cs"/>
          <w:sz w:val="28"/>
          <w:szCs w:val="28"/>
          <w:rtl/>
        </w:rPr>
        <w:t xml:space="preserve"> نباشد بلکه تصرفات در ذمه مثل بیع و شراء کلی را نیز شامل </w:t>
      </w:r>
      <w:r w:rsidR="001B14A5">
        <w:rPr>
          <w:rFonts w:cs="B Badr" w:hint="cs"/>
          <w:sz w:val="28"/>
          <w:szCs w:val="28"/>
          <w:rtl/>
        </w:rPr>
        <w:t>شود</w:t>
      </w:r>
      <w:r w:rsidRPr="00DD28A3">
        <w:rPr>
          <w:rFonts w:cs="B Badr" w:hint="cs"/>
          <w:sz w:val="28"/>
          <w:szCs w:val="28"/>
          <w:rtl/>
        </w:rPr>
        <w:t xml:space="preserve">. </w:t>
      </w:r>
    </w:p>
    <w:p w14:paraId="5F85E26D" w14:textId="1FB52228" w:rsidR="00913F75" w:rsidRPr="00DD28A3" w:rsidRDefault="00913F75" w:rsidP="00913F75">
      <w:pPr>
        <w:pStyle w:val="NormalWeb"/>
        <w:bidi/>
        <w:jc w:val="both"/>
        <w:rPr>
          <w:rFonts w:ascii="Noor_Lotus" w:hAnsi="Noor_Lotus" w:cs="B Badr"/>
          <w:color w:val="000000"/>
          <w:sz w:val="28"/>
          <w:szCs w:val="28"/>
          <w:rtl/>
        </w:rPr>
      </w:pPr>
      <w:r w:rsidRPr="00DD28A3">
        <w:rPr>
          <w:rFonts w:cs="B Badr" w:hint="cs"/>
          <w:sz w:val="28"/>
          <w:szCs w:val="28"/>
          <w:rtl/>
        </w:rPr>
        <w:t>روایت دیگری که مرحوم صدوق آن را به صورت مرسل آورده</w:t>
      </w:r>
      <w:r w:rsidR="001B14A5">
        <w:rPr>
          <w:rFonts w:cs="B Badr" w:hint="cs"/>
          <w:sz w:val="28"/>
          <w:szCs w:val="28"/>
          <w:rtl/>
        </w:rPr>
        <w:t xml:space="preserve"> و</w:t>
      </w:r>
      <w:r w:rsidR="001B14A5" w:rsidRPr="001B14A5">
        <w:rPr>
          <w:rFonts w:cs="B Badr" w:hint="cs"/>
          <w:sz w:val="28"/>
          <w:szCs w:val="28"/>
          <w:rtl/>
        </w:rPr>
        <w:t xml:space="preserve"> </w:t>
      </w:r>
      <w:r w:rsidR="001B14A5">
        <w:rPr>
          <w:rFonts w:cs="B Badr" w:hint="cs"/>
          <w:sz w:val="28"/>
          <w:szCs w:val="28"/>
          <w:rtl/>
        </w:rPr>
        <w:t xml:space="preserve">ممکن است </w:t>
      </w:r>
      <w:r w:rsidR="001B14A5" w:rsidRPr="00DD28A3">
        <w:rPr>
          <w:rFonts w:cs="B Badr" w:hint="cs"/>
          <w:sz w:val="28"/>
          <w:szCs w:val="28"/>
          <w:rtl/>
        </w:rPr>
        <w:t>همان روایت</w:t>
      </w:r>
      <w:r w:rsidR="001B14A5">
        <w:rPr>
          <w:rFonts w:cs="B Badr" w:hint="cs"/>
          <w:sz w:val="28"/>
          <w:szCs w:val="28"/>
          <w:rtl/>
        </w:rPr>
        <w:t xml:space="preserve"> قبل</w:t>
      </w:r>
      <w:r w:rsidR="001B14A5" w:rsidRPr="00DD28A3">
        <w:rPr>
          <w:rFonts w:cs="B Badr" w:hint="cs"/>
          <w:sz w:val="28"/>
          <w:szCs w:val="28"/>
          <w:rtl/>
        </w:rPr>
        <w:t xml:space="preserve"> باشد</w:t>
      </w:r>
      <w:r w:rsidR="001B14A5">
        <w:rPr>
          <w:rFonts w:cs="B Badr" w:hint="cs"/>
          <w:sz w:val="28"/>
          <w:szCs w:val="28"/>
          <w:rtl/>
        </w:rPr>
        <w:t xml:space="preserve"> چنین</w:t>
      </w:r>
      <w:r w:rsidRPr="00DD28A3">
        <w:rPr>
          <w:rFonts w:cs="B Badr" w:hint="cs"/>
          <w:sz w:val="28"/>
          <w:szCs w:val="28"/>
          <w:rtl/>
        </w:rPr>
        <w:t xml:space="preserve"> است</w:t>
      </w:r>
      <w:r w:rsidR="001B14A5">
        <w:rPr>
          <w:rFonts w:cs="B Badr" w:hint="cs"/>
          <w:sz w:val="28"/>
          <w:szCs w:val="28"/>
          <w:rtl/>
        </w:rPr>
        <w:t>:</w:t>
      </w:r>
      <w:r w:rsidRPr="00DD28A3">
        <w:rPr>
          <w:rFonts w:cs="B Badr" w:hint="cs"/>
          <w:sz w:val="28"/>
          <w:szCs w:val="28"/>
          <w:rtl/>
        </w:rPr>
        <w:t xml:space="preserve"> «</w:t>
      </w:r>
      <w:r w:rsidRPr="00913F75">
        <w:rPr>
          <w:rFonts w:ascii="Calibri" w:eastAsia="Calibri" w:hAnsi="Calibri" w:cs="B Badr" w:hint="cs"/>
          <w:sz w:val="22"/>
          <w:szCs w:val="28"/>
          <w:rtl/>
        </w:rPr>
        <w:t>وَ قَالَ أَبُو عَبْدِ اللَّهِ ع</w:t>
      </w:r>
      <w:r w:rsidRPr="00DD28A3">
        <w:rPr>
          <w:rFonts w:ascii="Noor_Lotus" w:hAnsi="Noor_Lotus" w:cs="B Badr" w:hint="cs"/>
          <w:color w:val="0F005F"/>
          <w:sz w:val="28"/>
          <w:szCs w:val="28"/>
          <w:rtl/>
        </w:rPr>
        <w:t xml:space="preserve"> </w:t>
      </w:r>
      <w:r w:rsidRPr="00913F75">
        <w:rPr>
          <w:rFonts w:ascii="Noor_Lotus" w:hAnsi="Noor_Lotus" w:cs="B Badr" w:hint="cs"/>
          <w:color w:val="008000"/>
          <w:sz w:val="28"/>
          <w:szCs w:val="28"/>
          <w:rtl/>
        </w:rPr>
        <w:t>إِذَا بَلَغَتِ الْجَارِيَةُ تِسْعَ سِنِينَ دُفِعَ إِلَيْهَا مَالُهَا وَ جَازَ أَمْرُهَا فِي مَالِهَا وَ أُقِيمَتِ الْحُدُودُ التَّامَّةُ لَهَا وَ عَلَيْهَا</w:t>
      </w:r>
      <w:r w:rsidRPr="00DD28A3">
        <w:rPr>
          <w:rFonts w:cs="B Badr" w:hint="cs"/>
          <w:sz w:val="28"/>
          <w:szCs w:val="28"/>
          <w:rtl/>
        </w:rPr>
        <w:t>»</w:t>
      </w:r>
      <w:r>
        <w:rPr>
          <w:rStyle w:val="FootnoteReference"/>
          <w:rFonts w:cs="B Badr"/>
          <w:sz w:val="28"/>
          <w:szCs w:val="28"/>
          <w:rtl/>
        </w:rPr>
        <w:footnoteReference w:id="2"/>
      </w:r>
      <w:r w:rsidRPr="00DD28A3">
        <w:rPr>
          <w:rFonts w:ascii="Noor_Lotus" w:hAnsi="Noor_Lotus" w:cs="B Badr" w:hint="cs"/>
          <w:color w:val="000000"/>
          <w:sz w:val="28"/>
          <w:szCs w:val="28"/>
          <w:rtl/>
        </w:rPr>
        <w:t xml:space="preserve"> </w:t>
      </w:r>
      <w:r w:rsidR="001B14A5">
        <w:rPr>
          <w:rFonts w:ascii="Noor_Lotus" w:hAnsi="Noor_Lotus" w:cs="B Badr" w:hint="cs"/>
          <w:color w:val="000000"/>
          <w:sz w:val="28"/>
          <w:szCs w:val="28"/>
          <w:rtl/>
        </w:rPr>
        <w:t xml:space="preserve">تعبیر </w:t>
      </w:r>
      <w:r w:rsidRPr="00DD28A3">
        <w:rPr>
          <w:rFonts w:ascii="Noor_Lotus" w:hAnsi="Noor_Lotus" w:cs="B Badr" w:hint="cs"/>
          <w:color w:val="000000"/>
          <w:sz w:val="28"/>
          <w:szCs w:val="28"/>
          <w:rtl/>
        </w:rPr>
        <w:t>این روایت «</w:t>
      </w:r>
      <w:r w:rsidRPr="00913F75">
        <w:rPr>
          <w:rFonts w:ascii="Noor_Lotus" w:hAnsi="Noor_Lotus" w:cs="B Badr" w:hint="cs"/>
          <w:color w:val="008000"/>
          <w:sz w:val="28"/>
          <w:szCs w:val="28"/>
          <w:rtl/>
        </w:rPr>
        <w:t>جَازَ أَمْرُهَا فِي مَالِهَا</w:t>
      </w:r>
      <w:r w:rsidRPr="00DD28A3">
        <w:rPr>
          <w:rFonts w:ascii="Noor_Lotus" w:hAnsi="Noor_Lotus" w:cs="B Badr" w:hint="cs"/>
          <w:color w:val="000000"/>
          <w:sz w:val="28"/>
          <w:szCs w:val="28"/>
          <w:rtl/>
        </w:rPr>
        <w:t xml:space="preserve">» </w:t>
      </w:r>
      <w:r w:rsidR="001B14A5">
        <w:rPr>
          <w:rFonts w:ascii="Noor_Lotus" w:hAnsi="Noor_Lotus" w:cs="B Badr" w:hint="cs"/>
          <w:color w:val="000000"/>
          <w:sz w:val="28"/>
          <w:szCs w:val="28"/>
          <w:rtl/>
        </w:rPr>
        <w:t>است</w:t>
      </w:r>
      <w:r w:rsidRPr="00DD28A3">
        <w:rPr>
          <w:rFonts w:ascii="Noor_Lotus" w:hAnsi="Noor_Lotus" w:cs="B Badr" w:hint="cs"/>
          <w:color w:val="000000"/>
          <w:sz w:val="28"/>
          <w:szCs w:val="28"/>
          <w:rtl/>
        </w:rPr>
        <w:t xml:space="preserve"> که از </w:t>
      </w:r>
      <w:r w:rsidR="001B14A5">
        <w:rPr>
          <w:rFonts w:ascii="Noor_Lotus" w:hAnsi="Noor_Lotus" w:cs="B Badr" w:hint="cs"/>
          <w:color w:val="000000"/>
          <w:sz w:val="28"/>
          <w:szCs w:val="28"/>
          <w:rtl/>
        </w:rPr>
        <w:t>آن</w:t>
      </w:r>
      <w:r w:rsidRPr="00DD28A3">
        <w:rPr>
          <w:rFonts w:ascii="Noor_Lotus" w:hAnsi="Noor_Lotus" w:cs="B Badr" w:hint="cs"/>
          <w:color w:val="000000"/>
          <w:sz w:val="28"/>
          <w:szCs w:val="28"/>
          <w:rtl/>
        </w:rPr>
        <w:t xml:space="preserve"> خرید و فروش </w:t>
      </w:r>
      <w:r w:rsidR="001B14A5">
        <w:rPr>
          <w:rFonts w:ascii="Noor_Lotus" w:hAnsi="Noor_Lotus" w:cs="B Badr" w:hint="cs"/>
          <w:color w:val="000000"/>
          <w:sz w:val="28"/>
          <w:szCs w:val="28"/>
          <w:rtl/>
        </w:rPr>
        <w:t>در</w:t>
      </w:r>
      <w:r w:rsidRPr="00DD28A3">
        <w:rPr>
          <w:rFonts w:ascii="Noor_Lotus" w:hAnsi="Noor_Lotus" w:cs="B Badr" w:hint="cs"/>
          <w:color w:val="000000"/>
          <w:sz w:val="28"/>
          <w:szCs w:val="28"/>
          <w:rtl/>
        </w:rPr>
        <w:t xml:space="preserve"> ذمه استفاده نمی شود</w:t>
      </w:r>
      <w:r w:rsidR="001B14A5">
        <w:rPr>
          <w:rFonts w:ascii="Noor_Lotus" w:hAnsi="Noor_Lotus" w:cs="B Badr" w:hint="cs"/>
          <w:color w:val="000000"/>
          <w:sz w:val="28"/>
          <w:szCs w:val="28"/>
          <w:rtl/>
        </w:rPr>
        <w:t>، زیرا</w:t>
      </w:r>
      <w:r w:rsidRPr="00DD28A3">
        <w:rPr>
          <w:rFonts w:ascii="Noor_Lotus" w:hAnsi="Noor_Lotus" w:cs="B Badr" w:hint="cs"/>
          <w:color w:val="000000"/>
          <w:sz w:val="28"/>
          <w:szCs w:val="28"/>
          <w:rtl/>
        </w:rPr>
        <w:t xml:space="preserve"> مراد از مال، مال بالفعل است. کسی که چیزی را به ذمه می خرد تصرف در مال خودش نکرده بلکه اعتباری را در ذمه خودش ایجاد کرده است</w:t>
      </w:r>
      <w:r w:rsidR="001B14A5">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 مگر اینکه کسی مال</w:t>
      </w:r>
      <w:r w:rsidR="001B14A5">
        <w:rPr>
          <w:rFonts w:ascii="Noor_Lotus" w:hAnsi="Noor_Lotus" w:cs="B Badr" w:hint="cs"/>
          <w:color w:val="000000"/>
          <w:sz w:val="28"/>
          <w:szCs w:val="28"/>
          <w:rtl/>
        </w:rPr>
        <w:t xml:space="preserve"> را</w:t>
      </w:r>
      <w:r w:rsidRPr="00DD28A3">
        <w:rPr>
          <w:rFonts w:ascii="Noor_Lotus" w:hAnsi="Noor_Lotus" w:cs="B Badr" w:hint="cs"/>
          <w:color w:val="000000"/>
          <w:sz w:val="28"/>
          <w:szCs w:val="28"/>
          <w:rtl/>
        </w:rPr>
        <w:t xml:space="preserve"> اعم از مال خارجی و مالی که شخص در ذمه خودش اعتبار می کند</w:t>
      </w:r>
      <w:r w:rsidR="001B14A5">
        <w:rPr>
          <w:rFonts w:ascii="Noor_Lotus" w:hAnsi="Noor_Lotus" w:cs="B Badr" w:hint="cs"/>
          <w:color w:val="000000"/>
          <w:sz w:val="28"/>
          <w:szCs w:val="28"/>
          <w:rtl/>
        </w:rPr>
        <w:t xml:space="preserve"> بداند</w:t>
      </w:r>
      <w:r w:rsidRPr="00DD28A3">
        <w:rPr>
          <w:rFonts w:ascii="Noor_Lotus" w:hAnsi="Noor_Lotus" w:cs="B Badr" w:hint="cs"/>
          <w:color w:val="000000"/>
          <w:sz w:val="28"/>
          <w:szCs w:val="28"/>
          <w:rtl/>
        </w:rPr>
        <w:t xml:space="preserve">. به هر حال مفاد این روایت </w:t>
      </w:r>
      <w:r w:rsidR="001B14A5">
        <w:rPr>
          <w:rFonts w:ascii="Noor_Lotus" w:hAnsi="Noor_Lotus" w:cs="B Badr" w:hint="cs"/>
          <w:color w:val="000000"/>
          <w:sz w:val="28"/>
          <w:szCs w:val="28"/>
          <w:rtl/>
        </w:rPr>
        <w:t xml:space="preserve">نیز </w:t>
      </w:r>
      <w:r w:rsidRPr="00DD28A3">
        <w:rPr>
          <w:rFonts w:ascii="Noor_Lotus" w:hAnsi="Noor_Lotus" w:cs="B Badr" w:hint="cs"/>
          <w:color w:val="000000"/>
          <w:sz w:val="28"/>
          <w:szCs w:val="28"/>
          <w:rtl/>
        </w:rPr>
        <w:t>محجوریت صبی از ولایت</w:t>
      </w:r>
      <w:r w:rsidR="00D916AE">
        <w:rPr>
          <w:rFonts w:ascii="Noor_Lotus" w:hAnsi="Noor_Lotus" w:cs="B Badr" w:hint="cs"/>
          <w:color w:val="000000"/>
          <w:sz w:val="28"/>
          <w:szCs w:val="28"/>
          <w:rtl/>
        </w:rPr>
        <w:t xml:space="preserve"> و سلطه</w:t>
      </w:r>
      <w:r w:rsidRPr="00DD28A3">
        <w:rPr>
          <w:rFonts w:ascii="Noor_Lotus" w:hAnsi="Noor_Lotus" w:cs="B Badr" w:hint="cs"/>
          <w:color w:val="000000"/>
          <w:sz w:val="28"/>
          <w:szCs w:val="28"/>
          <w:rtl/>
        </w:rPr>
        <w:t xml:space="preserve"> است. </w:t>
      </w:r>
    </w:p>
    <w:p w14:paraId="2E4C4864" w14:textId="7118FBAF" w:rsidR="00913F75" w:rsidRPr="00DD28A3" w:rsidRDefault="00B3182E" w:rsidP="00913F75">
      <w:pPr>
        <w:pStyle w:val="NormalWeb"/>
        <w:bidi/>
        <w:jc w:val="both"/>
        <w:rPr>
          <w:rFonts w:ascii="Noor_Lotus" w:hAnsi="Noor_Lotus" w:cs="B Badr"/>
          <w:color w:val="000000"/>
          <w:sz w:val="28"/>
          <w:szCs w:val="28"/>
          <w:rtl/>
        </w:rPr>
      </w:pPr>
      <w:r>
        <w:rPr>
          <w:rFonts w:ascii="Noor_Lotus" w:hAnsi="Noor_Lotus" w:cs="B Badr" w:hint="cs"/>
          <w:color w:val="000000"/>
          <w:sz w:val="28"/>
          <w:szCs w:val="28"/>
          <w:rtl/>
        </w:rPr>
        <w:t>شاهد دیگری بر</w:t>
      </w:r>
      <w:r w:rsidR="00913F75" w:rsidRPr="00DD28A3">
        <w:rPr>
          <w:rFonts w:ascii="Noor_Lotus" w:hAnsi="Noor_Lotus" w:cs="B Badr" w:hint="cs"/>
          <w:color w:val="000000"/>
          <w:sz w:val="28"/>
          <w:szCs w:val="28"/>
          <w:rtl/>
        </w:rPr>
        <w:t xml:space="preserve"> اینکه ترکیب «جاز أمره» به معنای محجوریت از ولایت است صحیحه حلبی است که در مورد نکاح باکره آمده است</w:t>
      </w:r>
      <w:r>
        <w:rPr>
          <w:rFonts w:ascii="Noor_Lotus" w:hAnsi="Noor_Lotus" w:cs="B Badr" w:hint="cs"/>
          <w:color w:val="000000"/>
          <w:sz w:val="28"/>
          <w:szCs w:val="28"/>
          <w:rtl/>
        </w:rPr>
        <w:t>:</w:t>
      </w:r>
      <w:r w:rsidR="00913F75" w:rsidRPr="00DD28A3">
        <w:rPr>
          <w:rFonts w:ascii="Noor_Lotus" w:hAnsi="Noor_Lotus" w:cs="B Badr" w:hint="cs"/>
          <w:color w:val="000000"/>
          <w:sz w:val="28"/>
          <w:szCs w:val="28"/>
          <w:rtl/>
        </w:rPr>
        <w:t xml:space="preserve"> «</w:t>
      </w:r>
      <w:r w:rsidR="00913F75" w:rsidRPr="00913F75">
        <w:rPr>
          <w:rFonts w:ascii="Calibri" w:eastAsia="Calibri" w:hAnsi="Calibri" w:cs="B Badr" w:hint="cs"/>
          <w:sz w:val="22"/>
          <w:szCs w:val="28"/>
          <w:rtl/>
        </w:rPr>
        <w:t>عَلِيُّ بْنُ إِبْرَاهِيمَ عَنْ أَبِيهِ عَنِ ابْنِ أَبِي عُمَيْرٍ عَنْ حَمَّادِ بْنِ عُثْمَانَ عَنِ الْحَلَبِيِّ عَنْ أَبِي عَبْدِ اللَّهِ ع</w:t>
      </w:r>
      <w:r w:rsidR="00913F75" w:rsidRPr="00DD28A3">
        <w:rPr>
          <w:rFonts w:ascii="Noor_Lotus" w:hAnsi="Noor_Lotus" w:cs="B Badr" w:hint="cs"/>
          <w:color w:val="0F005F"/>
          <w:sz w:val="28"/>
          <w:szCs w:val="28"/>
          <w:rtl/>
        </w:rPr>
        <w:t xml:space="preserve"> </w:t>
      </w:r>
      <w:r w:rsidR="00913F75" w:rsidRPr="00913F75">
        <w:rPr>
          <w:rFonts w:ascii="Noor_Lotus" w:hAnsi="Noor_Lotus" w:cs="B Badr" w:hint="cs"/>
          <w:color w:val="008000"/>
          <w:sz w:val="28"/>
          <w:szCs w:val="28"/>
          <w:rtl/>
        </w:rPr>
        <w:t>فِي الْجَارِيَةِ يُزَوِّجُهَا أَبُوهَا بِغَيْرِ رِضًا مِنْهَا قَالَ لَيْسَ لَهَا مَعَ أَبِيهَا أَمْرٌ</w:t>
      </w:r>
      <w:r w:rsidR="00913F75" w:rsidRPr="00913F75">
        <w:rPr>
          <w:rFonts w:ascii="Noor_Lotus" w:hAnsi="Noor_Lotus" w:cs="B Badr" w:hint="cs"/>
          <w:color w:val="008000"/>
          <w:sz w:val="28"/>
          <w:szCs w:val="28"/>
        </w:rPr>
        <w:t>‌</w:t>
      </w:r>
      <w:r w:rsidR="00913F75" w:rsidRPr="00913F75">
        <w:rPr>
          <w:rFonts w:ascii="Noor_Lotus" w:hAnsi="Noor_Lotus" w:cs="B Badr" w:hint="cs"/>
          <w:color w:val="008000"/>
          <w:sz w:val="28"/>
          <w:szCs w:val="28"/>
          <w:rtl/>
        </w:rPr>
        <w:t xml:space="preserve"> إِذَا أَنْكَحَهَا جَازَ نِكَاحُهُ وَ إِنْ كَانَتْ كَارِهَةً قَالَ وَ سُئِلَ عَنْ رَجُلٍ يُرِيدُ أَنْ يُزَوِّجَ أُخْتَهُ قَالَ يُؤَامِرُهَا فَإِنْ سَكَتَتْ فَهُوَ إِقْرَارُهَا وَ إِنْ أَبَتْ لَمْ يُزَوِّجْهَا</w:t>
      </w:r>
      <w:r w:rsidR="00913F75" w:rsidRPr="00DD28A3">
        <w:rPr>
          <w:rFonts w:ascii="Noor_Lotus" w:hAnsi="Noor_Lotus" w:cs="B Badr" w:hint="cs"/>
          <w:color w:val="000000"/>
          <w:sz w:val="28"/>
          <w:szCs w:val="28"/>
          <w:rtl/>
        </w:rPr>
        <w:t>»</w:t>
      </w:r>
      <w:r w:rsidR="00913F75">
        <w:rPr>
          <w:rStyle w:val="FootnoteReference"/>
          <w:rFonts w:ascii="Noor_Lotus" w:hAnsi="Noor_Lotus" w:cs="B Badr"/>
          <w:color w:val="000000"/>
          <w:sz w:val="28"/>
          <w:szCs w:val="28"/>
          <w:rtl/>
        </w:rPr>
        <w:footnoteReference w:id="3"/>
      </w:r>
      <w:r w:rsidR="00913F75" w:rsidRPr="00DD28A3">
        <w:rPr>
          <w:rFonts w:ascii="Noor_Lotus" w:hAnsi="Noor_Lotus" w:cs="B Badr" w:hint="cs"/>
          <w:color w:val="000000"/>
          <w:sz w:val="28"/>
          <w:szCs w:val="28"/>
          <w:rtl/>
        </w:rPr>
        <w:t xml:space="preserve"> مفاد روایت این است که رضایت دختر در نفوذ نکاح او مدخلیتی ندارد و حتی بدون رضایت او، عقد صحیح است. برخی از قدما قائل بوده اند ولایت تزویج دختر باکره </w:t>
      </w:r>
      <w:r>
        <w:rPr>
          <w:rFonts w:ascii="Noor_Lotus" w:hAnsi="Noor_Lotus" w:cs="B Badr" w:hint="cs"/>
          <w:color w:val="000000"/>
          <w:sz w:val="28"/>
          <w:szCs w:val="28"/>
          <w:rtl/>
        </w:rPr>
        <w:t>-</w:t>
      </w:r>
      <w:r w:rsidR="00913F75" w:rsidRPr="00DD28A3">
        <w:rPr>
          <w:rFonts w:ascii="Noor_Lotus" w:hAnsi="Noor_Lotus" w:cs="B Badr" w:hint="cs"/>
          <w:color w:val="000000"/>
          <w:sz w:val="28"/>
          <w:szCs w:val="28"/>
          <w:rtl/>
        </w:rPr>
        <w:t>حتی اگر بالغ باشد</w:t>
      </w:r>
      <w:r>
        <w:rPr>
          <w:rFonts w:ascii="Noor_Lotus" w:hAnsi="Noor_Lotus" w:cs="B Badr" w:hint="cs"/>
          <w:color w:val="000000"/>
          <w:sz w:val="28"/>
          <w:szCs w:val="28"/>
          <w:rtl/>
        </w:rPr>
        <w:t>-</w:t>
      </w:r>
      <w:r w:rsidR="00913F75" w:rsidRPr="00DD28A3">
        <w:rPr>
          <w:rFonts w:ascii="Noor_Lotus" w:hAnsi="Noor_Lotus" w:cs="B Badr" w:hint="cs"/>
          <w:color w:val="000000"/>
          <w:sz w:val="28"/>
          <w:szCs w:val="28"/>
          <w:rtl/>
        </w:rPr>
        <w:t xml:space="preserve"> با پدر </w:t>
      </w:r>
      <w:r w:rsidR="00913F75" w:rsidRPr="00DD28A3">
        <w:rPr>
          <w:rFonts w:ascii="Noor_Lotus" w:hAnsi="Noor_Lotus" w:cs="B Badr" w:hint="cs"/>
          <w:color w:val="000000"/>
          <w:sz w:val="28"/>
          <w:szCs w:val="28"/>
          <w:rtl/>
        </w:rPr>
        <w:lastRenderedPageBreak/>
        <w:t xml:space="preserve">است مثل صغیره که ولایتی ندارد و تزویج او با ولی اوست. البته مورد این روایت </w:t>
      </w:r>
      <w:r w:rsidRPr="00DD28A3">
        <w:rPr>
          <w:rFonts w:ascii="Noor_Lotus" w:hAnsi="Noor_Lotus" w:cs="B Badr" w:hint="cs"/>
          <w:color w:val="000000"/>
          <w:sz w:val="28"/>
          <w:szCs w:val="28"/>
          <w:rtl/>
        </w:rPr>
        <w:t xml:space="preserve">باکره </w:t>
      </w:r>
      <w:r w:rsidR="00913F75" w:rsidRPr="00DD28A3">
        <w:rPr>
          <w:rFonts w:ascii="Noor_Lotus" w:hAnsi="Noor_Lotus" w:cs="B Badr" w:hint="cs"/>
          <w:color w:val="000000"/>
          <w:sz w:val="28"/>
          <w:szCs w:val="28"/>
          <w:rtl/>
        </w:rPr>
        <w:t xml:space="preserve">بالغ نیست </w:t>
      </w:r>
      <w:r>
        <w:rPr>
          <w:rFonts w:ascii="Noor_Lotus" w:hAnsi="Noor_Lotus" w:cs="B Badr" w:hint="cs"/>
          <w:color w:val="000000"/>
          <w:sz w:val="28"/>
          <w:szCs w:val="28"/>
          <w:rtl/>
        </w:rPr>
        <w:t>اما</w:t>
      </w:r>
      <w:r w:rsidR="00913F75" w:rsidRPr="00DD28A3">
        <w:rPr>
          <w:rFonts w:ascii="Noor_Lotus" w:hAnsi="Noor_Lotus" w:cs="B Badr" w:hint="cs"/>
          <w:color w:val="000000"/>
          <w:sz w:val="28"/>
          <w:szCs w:val="28"/>
          <w:rtl/>
        </w:rPr>
        <w:t xml:space="preserve"> اطلاق </w:t>
      </w:r>
      <w:r>
        <w:rPr>
          <w:rFonts w:ascii="Noor_Lotus" w:hAnsi="Noor_Lotus" w:cs="B Badr" w:hint="cs"/>
          <w:color w:val="000000"/>
          <w:sz w:val="28"/>
          <w:szCs w:val="28"/>
          <w:rtl/>
        </w:rPr>
        <w:t>آن</w:t>
      </w:r>
      <w:r w:rsidR="00913F75" w:rsidRPr="00DD28A3">
        <w:rPr>
          <w:rFonts w:ascii="Noor_Lotus" w:hAnsi="Noor_Lotus" w:cs="B Badr" w:hint="cs"/>
          <w:color w:val="000000"/>
          <w:sz w:val="28"/>
          <w:szCs w:val="28"/>
          <w:rtl/>
        </w:rPr>
        <w:t xml:space="preserve"> شامل باکره بالغ نیز می شود.</w:t>
      </w:r>
    </w:p>
    <w:p w14:paraId="3F81E12C" w14:textId="7518B92C" w:rsidR="00913F75" w:rsidRPr="00DD28A3" w:rsidRDefault="00913F75" w:rsidP="00913F75">
      <w:pPr>
        <w:pStyle w:val="NormalWeb"/>
        <w:bidi/>
        <w:jc w:val="both"/>
        <w:rPr>
          <w:rFonts w:ascii="Noor_Lotus" w:hAnsi="Noor_Lotus" w:cs="B Badr"/>
          <w:color w:val="000000"/>
          <w:sz w:val="28"/>
          <w:szCs w:val="28"/>
          <w:rtl/>
        </w:rPr>
      </w:pPr>
      <w:r w:rsidRPr="00DD28A3">
        <w:rPr>
          <w:rFonts w:ascii="Noor_Lotus" w:hAnsi="Noor_Lotus" w:cs="B Badr" w:hint="cs"/>
          <w:color w:val="000000"/>
          <w:sz w:val="28"/>
          <w:szCs w:val="28"/>
          <w:rtl/>
        </w:rPr>
        <w:t>روایت دیگر صحیحه عبدالله بن میمون است که در آن آمده است</w:t>
      </w:r>
      <w:r w:rsidR="00B3182E">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 «</w:t>
      </w:r>
      <w:r w:rsidRPr="00913F75">
        <w:rPr>
          <w:rFonts w:ascii="Calibri" w:eastAsia="Calibri" w:hAnsi="Calibri" w:cs="B Badr" w:hint="cs"/>
          <w:sz w:val="22"/>
          <w:szCs w:val="28"/>
          <w:rtl/>
        </w:rPr>
        <w:t xml:space="preserve">أَحْمَدُ بْنُ مُحَمَّدِ بْنِ عِيسَى عَنِ ابْنِ فَضَّالٍ عَنْ صَفْوَانَ عَنْ أَبِي الْمَغْرَاءِ عَنْ إِبْرَاهِيمَ بْنِ مَيْمُونٍ عَنْ أَبِي عَبْدِ اللَّهِ ع قَالَ: </w:t>
      </w:r>
      <w:r w:rsidRPr="00913F75">
        <w:rPr>
          <w:rFonts w:ascii="Noor_Lotus" w:hAnsi="Noor_Lotus" w:cs="B Badr" w:hint="cs"/>
          <w:color w:val="008000"/>
          <w:sz w:val="28"/>
          <w:szCs w:val="28"/>
          <w:rtl/>
        </w:rPr>
        <w:t>إِذَا كَانَتِ الْجَارِيَةُ بَيْنَ أَبَوَيْهَا فَلَيْسَ لَهَا مَعَ أَبَوَيْهَا أَمْرٌ وَ إِذَا كَانَتْ قَدْ تَزَوَّجَتْ لَمْ يُزَوِّجْهَا إِلَّا بِرِضًا عَنْهَا</w:t>
      </w:r>
      <w:r w:rsidRPr="00DD28A3">
        <w:rPr>
          <w:rFonts w:ascii="Noor_Lotus" w:hAnsi="Noor_Lotus" w:cs="B Badr" w:hint="cs"/>
          <w:color w:val="000000"/>
          <w:sz w:val="28"/>
          <w:szCs w:val="28"/>
          <w:rtl/>
        </w:rPr>
        <w:t>»</w:t>
      </w:r>
      <w:r>
        <w:rPr>
          <w:rStyle w:val="FootnoteReference"/>
          <w:rFonts w:ascii="Noor_Lotus" w:hAnsi="Noor_Lotus" w:cs="B Badr"/>
          <w:color w:val="000000"/>
          <w:sz w:val="28"/>
          <w:szCs w:val="28"/>
          <w:rtl/>
        </w:rPr>
        <w:footnoteReference w:id="4"/>
      </w:r>
      <w:r w:rsidRPr="00DD28A3">
        <w:rPr>
          <w:rFonts w:ascii="Noor_Lotus" w:hAnsi="Noor_Lotus" w:cs="B Badr" w:hint="cs"/>
          <w:color w:val="000000"/>
          <w:sz w:val="28"/>
          <w:szCs w:val="28"/>
          <w:rtl/>
        </w:rPr>
        <w:t xml:space="preserve"> مضمون این روایت و روایت قبل این است که </w:t>
      </w:r>
      <w:r w:rsidR="00B3182E" w:rsidRPr="00DD28A3">
        <w:rPr>
          <w:rFonts w:ascii="Noor_Lotus" w:hAnsi="Noor_Lotus" w:cs="B Badr" w:hint="cs"/>
          <w:color w:val="000000"/>
          <w:sz w:val="28"/>
          <w:szCs w:val="28"/>
          <w:rtl/>
        </w:rPr>
        <w:t xml:space="preserve">باکره </w:t>
      </w:r>
      <w:r w:rsidRPr="00DD28A3">
        <w:rPr>
          <w:rFonts w:ascii="Noor_Lotus" w:hAnsi="Noor_Lotus" w:cs="B Badr" w:hint="cs"/>
          <w:color w:val="000000"/>
          <w:sz w:val="28"/>
          <w:szCs w:val="28"/>
          <w:rtl/>
        </w:rPr>
        <w:t xml:space="preserve">ولایت </w:t>
      </w:r>
      <w:r w:rsidR="00B3182E">
        <w:rPr>
          <w:rFonts w:ascii="Noor_Lotus" w:hAnsi="Noor_Lotus" w:cs="B Badr" w:hint="cs"/>
          <w:color w:val="000000"/>
          <w:sz w:val="28"/>
          <w:szCs w:val="28"/>
          <w:rtl/>
        </w:rPr>
        <w:t xml:space="preserve">بر </w:t>
      </w:r>
      <w:r w:rsidRPr="00DD28A3">
        <w:rPr>
          <w:rFonts w:ascii="Noor_Lotus" w:hAnsi="Noor_Lotus" w:cs="B Badr" w:hint="cs"/>
          <w:color w:val="000000"/>
          <w:sz w:val="28"/>
          <w:szCs w:val="28"/>
          <w:rtl/>
        </w:rPr>
        <w:t xml:space="preserve">تزویج </w:t>
      </w:r>
      <w:r w:rsidR="00B3182E">
        <w:rPr>
          <w:rFonts w:ascii="Noor_Lotus" w:hAnsi="Noor_Lotus" w:cs="B Badr" w:hint="cs"/>
          <w:color w:val="000000"/>
          <w:sz w:val="28"/>
          <w:szCs w:val="28"/>
          <w:rtl/>
        </w:rPr>
        <w:t xml:space="preserve">خود </w:t>
      </w:r>
      <w:r w:rsidRPr="00DD28A3">
        <w:rPr>
          <w:rFonts w:ascii="Noor_Lotus" w:hAnsi="Noor_Lotus" w:cs="B Badr" w:hint="cs"/>
          <w:color w:val="000000"/>
          <w:sz w:val="28"/>
          <w:szCs w:val="28"/>
          <w:rtl/>
        </w:rPr>
        <w:t>ندارد</w:t>
      </w:r>
      <w:r w:rsidR="00B3182E">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 مراد از «</w:t>
      </w:r>
      <w:r w:rsidRPr="00913F75">
        <w:rPr>
          <w:rFonts w:ascii="Noor_Lotus" w:hAnsi="Noor_Lotus" w:cs="B Badr" w:hint="cs"/>
          <w:color w:val="008000"/>
          <w:sz w:val="28"/>
          <w:szCs w:val="28"/>
          <w:rtl/>
        </w:rPr>
        <w:t>فَلَيْسَ لَهَا مَعَ أَبَوَيْهَا أَمْرٌ</w:t>
      </w:r>
      <w:r w:rsidRPr="00DD28A3">
        <w:rPr>
          <w:rFonts w:ascii="Noor_Lotus" w:hAnsi="Noor_Lotus" w:cs="B Badr" w:hint="cs"/>
          <w:color w:val="000000"/>
          <w:sz w:val="28"/>
          <w:szCs w:val="28"/>
          <w:rtl/>
        </w:rPr>
        <w:t xml:space="preserve">» عدم صحت نکاح </w:t>
      </w:r>
      <w:r w:rsidR="00B3182E">
        <w:rPr>
          <w:rFonts w:ascii="Noor_Lotus" w:hAnsi="Noor_Lotus" w:cs="B Badr" w:hint="cs"/>
          <w:color w:val="000000"/>
          <w:sz w:val="28"/>
          <w:szCs w:val="28"/>
          <w:rtl/>
        </w:rPr>
        <w:t xml:space="preserve">مطلقا </w:t>
      </w:r>
      <w:r w:rsidRPr="00DD28A3">
        <w:rPr>
          <w:rFonts w:ascii="Noor_Lotus" w:hAnsi="Noor_Lotus" w:cs="B Badr" w:hint="cs"/>
          <w:color w:val="000000"/>
          <w:sz w:val="28"/>
          <w:szCs w:val="28"/>
          <w:rtl/>
        </w:rPr>
        <w:t xml:space="preserve">نیست بلکه </w:t>
      </w:r>
      <w:r w:rsidR="00B3182E">
        <w:rPr>
          <w:rFonts w:ascii="Noor_Lotus" w:hAnsi="Noor_Lotus" w:cs="B Badr" w:hint="cs"/>
          <w:color w:val="000000"/>
          <w:sz w:val="28"/>
          <w:szCs w:val="28"/>
          <w:rtl/>
        </w:rPr>
        <w:t xml:space="preserve">فقط </w:t>
      </w:r>
      <w:r w:rsidRPr="00DD28A3">
        <w:rPr>
          <w:rFonts w:ascii="Noor_Lotus" w:hAnsi="Noor_Lotus" w:cs="B Badr" w:hint="cs"/>
          <w:color w:val="000000"/>
          <w:sz w:val="28"/>
          <w:szCs w:val="28"/>
          <w:rtl/>
        </w:rPr>
        <w:t xml:space="preserve">خودش نمی تواند اقدام کند و ولایت امر نکاح او با ولی اوست. </w:t>
      </w:r>
    </w:p>
    <w:p w14:paraId="74A81B57" w14:textId="75085ABB" w:rsidR="00913F75" w:rsidRPr="00DD28A3" w:rsidRDefault="00913F75" w:rsidP="00913F75">
      <w:pPr>
        <w:pStyle w:val="Heading1"/>
        <w:rPr>
          <w:rtl/>
        </w:rPr>
      </w:pPr>
      <w:bookmarkStart w:id="5" w:name="_Toc36231072"/>
      <w:r w:rsidRPr="00DD28A3">
        <w:rPr>
          <w:rFonts w:hint="cs"/>
          <w:rtl/>
        </w:rPr>
        <w:t>وجه دیگر</w:t>
      </w:r>
      <w:r w:rsidR="00B6539A">
        <w:rPr>
          <w:rFonts w:hint="cs"/>
          <w:rtl/>
        </w:rPr>
        <w:t>ی</w:t>
      </w:r>
      <w:r w:rsidRPr="00DD28A3">
        <w:rPr>
          <w:rFonts w:hint="cs"/>
          <w:rtl/>
        </w:rPr>
        <w:t xml:space="preserve"> برای اشتراط بلوغ در قاضی</w:t>
      </w:r>
      <w:bookmarkEnd w:id="5"/>
    </w:p>
    <w:p w14:paraId="702DC7F2" w14:textId="6855B9AE" w:rsidR="00913F75" w:rsidRPr="00DD28A3" w:rsidRDefault="00913F75" w:rsidP="00913F75">
      <w:pPr>
        <w:pStyle w:val="NormalWeb"/>
        <w:bidi/>
        <w:jc w:val="both"/>
        <w:rPr>
          <w:rFonts w:ascii="Noor_Lotus" w:hAnsi="Noor_Lotus" w:cs="B Badr"/>
          <w:color w:val="000000"/>
          <w:sz w:val="28"/>
          <w:szCs w:val="28"/>
          <w:rtl/>
        </w:rPr>
      </w:pPr>
      <w:r w:rsidRPr="00DD28A3">
        <w:rPr>
          <w:rFonts w:ascii="Noor_Lotus" w:hAnsi="Noor_Lotus" w:cs="B Badr" w:hint="cs"/>
          <w:color w:val="000000"/>
          <w:sz w:val="28"/>
          <w:szCs w:val="28"/>
          <w:rtl/>
        </w:rPr>
        <w:t>مرحوم صاحب جواهر برای اشتراط بلوغ در مورد قاضی به وجه دیگری استدلال کرده است. ایشان فرموده صبی مول</w:t>
      </w:r>
      <w:r w:rsidR="00B6539A">
        <w:rPr>
          <w:rFonts w:ascii="Noor_Lotus" w:hAnsi="Noor_Lotus" w:cs="B Badr" w:hint="cs"/>
          <w:color w:val="000000"/>
          <w:sz w:val="28"/>
          <w:szCs w:val="28"/>
          <w:rtl/>
        </w:rPr>
        <w:t>ّ</w:t>
      </w:r>
      <w:r w:rsidRPr="00DD28A3">
        <w:rPr>
          <w:rFonts w:ascii="Noor_Lotus" w:hAnsi="Noor_Lotus" w:cs="B Badr" w:hint="cs"/>
          <w:color w:val="000000"/>
          <w:sz w:val="28"/>
          <w:szCs w:val="28"/>
          <w:rtl/>
        </w:rPr>
        <w:t>ی علیه است</w:t>
      </w:r>
      <w:r w:rsidR="00D916AE">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 یعنی تحت ولایت دیگری است و وقتی خودش تحت ولایت دیگری است چطور می تواند ولایت بر دیگران داشته باشد. بعد ایشان فرموده اینکه منصب الهی یعنی امامت و نبوت برای بعضی از افراد نابالغ قرار داده شده است نوعی از قضای الهی است. ایشان فرموده است</w:t>
      </w:r>
      <w:r w:rsidR="008534FE">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 «</w:t>
      </w:r>
      <w:r w:rsidRPr="00913F75">
        <w:rPr>
          <w:rFonts w:ascii="Noor_Lotus" w:hAnsi="Noor_Lotus" w:cs="B Badr" w:hint="cs"/>
          <w:color w:val="000080"/>
          <w:sz w:val="28"/>
          <w:szCs w:val="28"/>
          <w:rtl/>
        </w:rPr>
        <w:t>و منصب الإمامة ليحيى (عليه السلام) و للصاحب روحي له الفداء إنما كان لنوع من القضاء الإلهي، نحو عيسى بن مريم (عليه السلام)</w:t>
      </w:r>
      <w:r w:rsidRPr="008534FE">
        <w:rPr>
          <w:rFonts w:ascii="Calibri" w:eastAsia="Calibri" w:hAnsi="Calibri" w:cs="B Badr" w:hint="cs"/>
          <w:sz w:val="22"/>
          <w:szCs w:val="28"/>
          <w:rtl/>
        </w:rPr>
        <w:t>»</w:t>
      </w:r>
      <w:r w:rsidRPr="008534FE">
        <w:rPr>
          <w:rStyle w:val="FootnoteReference"/>
          <w:rFonts w:ascii="Calibri" w:eastAsia="Calibri" w:hAnsi="Calibri" w:cs="B Badr"/>
          <w:sz w:val="22"/>
          <w:szCs w:val="28"/>
          <w:rtl/>
        </w:rPr>
        <w:footnoteReference w:id="5"/>
      </w:r>
      <w:r w:rsidRPr="00DD28A3">
        <w:rPr>
          <w:rFonts w:ascii="Noor_Lotus" w:hAnsi="Noor_Lotus" w:cs="B Badr" w:hint="cs"/>
          <w:color w:val="000000"/>
          <w:sz w:val="28"/>
          <w:szCs w:val="28"/>
          <w:rtl/>
        </w:rPr>
        <w:t xml:space="preserve"> </w:t>
      </w:r>
    </w:p>
    <w:p w14:paraId="275C8C1F" w14:textId="5A0E8D17" w:rsidR="00913F75" w:rsidRPr="00DD28A3" w:rsidRDefault="00913F75" w:rsidP="00913F75">
      <w:pPr>
        <w:pStyle w:val="Heading2"/>
        <w:rPr>
          <w:rtl/>
        </w:rPr>
      </w:pPr>
      <w:bookmarkStart w:id="6" w:name="_Toc36231073"/>
      <w:r w:rsidRPr="00DD28A3">
        <w:rPr>
          <w:rFonts w:hint="cs"/>
          <w:rtl/>
        </w:rPr>
        <w:t xml:space="preserve">اشکال به این </w:t>
      </w:r>
      <w:r w:rsidR="00B6539A">
        <w:rPr>
          <w:rFonts w:hint="cs"/>
          <w:rtl/>
        </w:rPr>
        <w:t>وجه</w:t>
      </w:r>
      <w:bookmarkEnd w:id="6"/>
    </w:p>
    <w:p w14:paraId="247848D2" w14:textId="5CDA9A17" w:rsidR="00913F75" w:rsidRPr="00DD28A3" w:rsidRDefault="00913F75" w:rsidP="00913F75">
      <w:pPr>
        <w:pStyle w:val="NormalWeb"/>
        <w:bidi/>
        <w:jc w:val="both"/>
        <w:rPr>
          <w:rFonts w:ascii="Noor_Lotus" w:hAnsi="Noor_Lotus" w:cs="B Badr"/>
          <w:color w:val="000000"/>
          <w:sz w:val="28"/>
          <w:szCs w:val="28"/>
          <w:rtl/>
        </w:rPr>
      </w:pPr>
      <w:r w:rsidRPr="00913F75">
        <w:rPr>
          <w:rFonts w:ascii="Noor_Lotus" w:hAnsi="Noor_Lotus" w:cs="B Badr" w:hint="cs"/>
          <w:color w:val="000000"/>
          <w:sz w:val="28"/>
          <w:szCs w:val="28"/>
          <w:highlight w:val="yellow"/>
          <w:rtl/>
        </w:rPr>
        <w:t xml:space="preserve">از عبارت ایشان </w:t>
      </w:r>
      <w:r w:rsidRPr="00DD28A3">
        <w:rPr>
          <w:rFonts w:ascii="Noor_Lotus" w:hAnsi="Noor_Lotus" w:cs="B Badr" w:hint="cs"/>
          <w:color w:val="000000"/>
          <w:sz w:val="28"/>
          <w:szCs w:val="28"/>
          <w:rtl/>
        </w:rPr>
        <w:t xml:space="preserve">که فرموده است منصب امامت و نبوت برای افراد نابالغ ثابت است، استفاده می شود که این موارد استثناء است و علی القاعده نیست. این کلام صحیح نیست چون قاعده ای نداریم که اقتضاء کند صبی اهلیت برای نبوت و امامت ندارد. مگر اینکه مراد صاحب جواهر این باشد که به لحاظ وقوع خارجی نوعی استثناء </w:t>
      </w:r>
      <w:r w:rsidR="00094936">
        <w:rPr>
          <w:rFonts w:ascii="Noor_Lotus" w:hAnsi="Noor_Lotus" w:cs="B Badr" w:hint="cs"/>
          <w:color w:val="000000"/>
          <w:sz w:val="28"/>
          <w:szCs w:val="28"/>
          <w:rtl/>
        </w:rPr>
        <w:t>وجود دارد</w:t>
      </w:r>
      <w:r w:rsidRPr="00DD28A3">
        <w:rPr>
          <w:rFonts w:ascii="Noor_Lotus" w:hAnsi="Noor_Lotus" w:cs="B Badr" w:hint="cs"/>
          <w:color w:val="000000"/>
          <w:sz w:val="28"/>
          <w:szCs w:val="28"/>
          <w:rtl/>
        </w:rPr>
        <w:t xml:space="preserve"> چون متعارف این است که صاحبان این منصب بالغ بوده اند. </w:t>
      </w:r>
    </w:p>
    <w:p w14:paraId="2A81B260" w14:textId="6C23FD49" w:rsidR="001A1EA5" w:rsidRPr="00913F75" w:rsidRDefault="00913F75" w:rsidP="00913F75">
      <w:pPr>
        <w:pStyle w:val="NormalWeb"/>
        <w:bidi/>
        <w:jc w:val="both"/>
        <w:rPr>
          <w:rFonts w:ascii="Noor_Lotus" w:hAnsi="Noor_Lotus" w:cs="B Badr"/>
          <w:color w:val="000000"/>
          <w:sz w:val="28"/>
          <w:szCs w:val="28"/>
          <w:rtl/>
        </w:rPr>
      </w:pPr>
      <w:r w:rsidRPr="00DD28A3">
        <w:rPr>
          <w:rFonts w:ascii="Noor_Lotus" w:hAnsi="Noor_Lotus" w:cs="B Badr" w:hint="cs"/>
          <w:color w:val="000000"/>
          <w:sz w:val="28"/>
          <w:szCs w:val="28"/>
          <w:rtl/>
        </w:rPr>
        <w:t>اینکه فرمودند صبی مول</w:t>
      </w:r>
      <w:r w:rsidR="00B6539A">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ی علیه است پس صالح برای منصب ولایت بر دیگران نیست، به تنهایی </w:t>
      </w:r>
      <w:r w:rsidR="00094936" w:rsidRPr="00DD28A3">
        <w:rPr>
          <w:rFonts w:ascii="Noor_Lotus" w:hAnsi="Noor_Lotus" w:cs="B Badr" w:hint="cs"/>
          <w:color w:val="000000"/>
          <w:sz w:val="28"/>
          <w:szCs w:val="28"/>
          <w:rtl/>
        </w:rPr>
        <w:t xml:space="preserve">نمی تواند </w:t>
      </w:r>
      <w:r w:rsidRPr="00DD28A3">
        <w:rPr>
          <w:rFonts w:ascii="Noor_Lotus" w:hAnsi="Noor_Lotus" w:cs="B Badr" w:hint="cs"/>
          <w:color w:val="000000"/>
          <w:sz w:val="28"/>
          <w:szCs w:val="28"/>
          <w:rtl/>
        </w:rPr>
        <w:t xml:space="preserve">وجهی برای اشتراط بلوغ در قاضی باشد. مانعی ندارد که صبی از یک جهت مولی علیه باشد مثل تصرف در اموال خودش، اما از جهت دیگری مثل </w:t>
      </w:r>
      <w:r w:rsidRPr="00DD28A3">
        <w:rPr>
          <w:rFonts w:ascii="Noor_Lotus" w:hAnsi="Noor_Lotus" w:cs="B Badr" w:hint="cs"/>
          <w:color w:val="000000"/>
          <w:sz w:val="28"/>
          <w:szCs w:val="28"/>
          <w:rtl/>
        </w:rPr>
        <w:lastRenderedPageBreak/>
        <w:t>قضاوت برای دیگران، ولایت داشته باشد. مگر اینکه ایشان بخواهد اشاره به همان قاعده مستفاد از روایت عبدالله بن سنان کند</w:t>
      </w:r>
      <w:r w:rsidR="00094936">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 پس این وجه</w:t>
      </w:r>
      <w:r w:rsidR="00094936">
        <w:rPr>
          <w:rFonts w:ascii="Noor_Lotus" w:hAnsi="Noor_Lotus" w:cs="B Badr" w:hint="cs"/>
          <w:color w:val="000000"/>
          <w:sz w:val="28"/>
          <w:szCs w:val="28"/>
          <w:rtl/>
        </w:rPr>
        <w:t>،</w:t>
      </w:r>
      <w:r w:rsidRPr="00DD28A3">
        <w:rPr>
          <w:rFonts w:ascii="Noor_Lotus" w:hAnsi="Noor_Lotus" w:cs="B Badr" w:hint="cs"/>
          <w:color w:val="000000"/>
          <w:sz w:val="28"/>
          <w:szCs w:val="28"/>
          <w:rtl/>
        </w:rPr>
        <w:t xml:space="preserve"> </w:t>
      </w:r>
      <w:r w:rsidR="00094936" w:rsidRPr="00DD28A3">
        <w:rPr>
          <w:rFonts w:ascii="Noor_Lotus" w:hAnsi="Noor_Lotus" w:cs="B Badr" w:hint="cs"/>
          <w:color w:val="000000"/>
          <w:sz w:val="28"/>
          <w:szCs w:val="28"/>
          <w:rtl/>
        </w:rPr>
        <w:t>نمی تواند</w:t>
      </w:r>
      <w:r w:rsidR="00094936">
        <w:rPr>
          <w:rFonts w:ascii="Noor_Lotus" w:hAnsi="Noor_Lotus" w:cs="B Badr" w:hint="cs"/>
          <w:color w:val="000000"/>
          <w:sz w:val="28"/>
          <w:szCs w:val="28"/>
          <w:rtl/>
        </w:rPr>
        <w:t xml:space="preserve"> وجه </w:t>
      </w:r>
      <w:r w:rsidRPr="00DD28A3">
        <w:rPr>
          <w:rFonts w:ascii="Noor_Lotus" w:hAnsi="Noor_Lotus" w:cs="B Badr" w:hint="cs"/>
          <w:color w:val="000000"/>
          <w:sz w:val="28"/>
          <w:szCs w:val="28"/>
          <w:rtl/>
        </w:rPr>
        <w:t xml:space="preserve">مستقلی باشد.  </w:t>
      </w:r>
      <w:bookmarkEnd w:id="3"/>
    </w:p>
    <w:sectPr w:rsidR="001A1EA5" w:rsidRPr="00913F7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B62FD" w14:textId="77777777" w:rsidR="006A7AEC" w:rsidRDefault="006A7AEC" w:rsidP="008B750B">
      <w:pPr>
        <w:spacing w:line="240" w:lineRule="auto"/>
      </w:pPr>
      <w:r>
        <w:separator/>
      </w:r>
    </w:p>
  </w:endnote>
  <w:endnote w:type="continuationSeparator" w:id="0">
    <w:p w14:paraId="2CC4B9B3" w14:textId="77777777" w:rsidR="006A7AEC" w:rsidRDefault="006A7AE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Arial"/>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71AFB"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1E6B20C" w14:textId="77777777" w:rsidTr="0020241A">
      <w:tc>
        <w:tcPr>
          <w:tcW w:w="3382" w:type="dxa"/>
          <w:tcBorders>
            <w:top w:val="nil"/>
            <w:left w:val="nil"/>
            <w:bottom w:val="nil"/>
            <w:right w:val="nil"/>
          </w:tcBorders>
        </w:tcPr>
        <w:p w14:paraId="0DB38B86"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BFC5DEF"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5BAC73E3" w14:textId="77777777" w:rsidR="006D44C1" w:rsidRPr="006D44C1" w:rsidRDefault="0024309C" w:rsidP="001B6799">
          <w:pPr>
            <w:pStyle w:val="Footer"/>
            <w:bidi w:val="0"/>
            <w:rPr>
              <w:color w:val="808080" w:themeColor="background1" w:themeShade="80"/>
              <w:rtl/>
            </w:rPr>
          </w:pPr>
          <w:bookmarkStart w:id="14" w:name="BokAdres"/>
          <w:bookmarkEnd w:id="14"/>
          <w:r>
            <w:rPr>
              <w:color w:val="808080" w:themeColor="background1" w:themeShade="80"/>
            </w:rPr>
            <w:t>F1mq1_13990105-088_mk4_mfeb.ir</w:t>
          </w:r>
        </w:p>
      </w:tc>
    </w:tr>
  </w:tbl>
  <w:p w14:paraId="0A491D07"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D3F7D"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9F094" w14:textId="77777777" w:rsidR="006A7AEC" w:rsidRDefault="006A7AEC" w:rsidP="008B750B">
      <w:pPr>
        <w:spacing w:line="240" w:lineRule="auto"/>
      </w:pPr>
      <w:r>
        <w:separator/>
      </w:r>
    </w:p>
  </w:footnote>
  <w:footnote w:type="continuationSeparator" w:id="0">
    <w:p w14:paraId="54C05CDA" w14:textId="77777777" w:rsidR="006A7AEC" w:rsidRDefault="006A7AEC" w:rsidP="008B750B">
      <w:pPr>
        <w:spacing w:line="240" w:lineRule="auto"/>
      </w:pPr>
      <w:r>
        <w:continuationSeparator/>
      </w:r>
    </w:p>
  </w:footnote>
  <w:footnote w:id="1">
    <w:p w14:paraId="0418F91C" w14:textId="09017283" w:rsidR="00913F75" w:rsidRPr="00913F75" w:rsidRDefault="00913F75" w:rsidP="00913F75">
      <w:pPr>
        <w:pStyle w:val="FootnoteText"/>
      </w:pPr>
      <w:r w:rsidRPr="00913F75">
        <w:footnoteRef/>
      </w:r>
      <w:r w:rsidRPr="00913F75">
        <w:rPr>
          <w:rtl/>
        </w:rPr>
        <w:t xml:space="preserve"> </w:t>
      </w:r>
      <w:hyperlink r:id="rId1" w:history="1">
        <w:r w:rsidRPr="00913F75">
          <w:rPr>
            <w:rStyle w:val="Hyperlink"/>
            <w:rFonts w:hint="eastAsia"/>
            <w:rtl/>
          </w:rPr>
          <w:t>الکاف</w:t>
        </w:r>
        <w:r w:rsidRPr="00913F75">
          <w:rPr>
            <w:rStyle w:val="Hyperlink"/>
            <w:rFonts w:hint="cs"/>
            <w:rtl/>
          </w:rPr>
          <w:t>ی</w:t>
        </w:r>
        <w:r w:rsidRPr="00913F75">
          <w:rPr>
            <w:rStyle w:val="Hyperlink"/>
            <w:rFonts w:hint="eastAsia"/>
            <w:rtl/>
          </w:rPr>
          <w:t>،</w:t>
        </w:r>
        <w:r w:rsidRPr="00913F75">
          <w:rPr>
            <w:rStyle w:val="Hyperlink"/>
            <w:rtl/>
          </w:rPr>
          <w:t xml:space="preserve"> محمد بن </w:t>
        </w:r>
        <w:r w:rsidRPr="00913F75">
          <w:rPr>
            <w:rStyle w:val="Hyperlink"/>
            <w:rFonts w:hint="cs"/>
            <w:rtl/>
          </w:rPr>
          <w:t>ی</w:t>
        </w:r>
        <w:r w:rsidRPr="00913F75">
          <w:rPr>
            <w:rStyle w:val="Hyperlink"/>
            <w:rFonts w:hint="eastAsia"/>
            <w:rtl/>
          </w:rPr>
          <w:t>عقوب</w:t>
        </w:r>
        <w:r w:rsidRPr="00913F75">
          <w:rPr>
            <w:rStyle w:val="Hyperlink"/>
            <w:rtl/>
          </w:rPr>
          <w:t xml:space="preserve"> کل</w:t>
        </w:r>
        <w:r w:rsidRPr="00913F75">
          <w:rPr>
            <w:rStyle w:val="Hyperlink"/>
            <w:rFonts w:hint="cs"/>
            <w:rtl/>
          </w:rPr>
          <w:t>ی</w:t>
        </w:r>
        <w:r w:rsidRPr="00913F75">
          <w:rPr>
            <w:rStyle w:val="Hyperlink"/>
            <w:rFonts w:hint="eastAsia"/>
            <w:rtl/>
          </w:rPr>
          <w:t>ن</w:t>
        </w:r>
        <w:r w:rsidRPr="00913F75">
          <w:rPr>
            <w:rStyle w:val="Hyperlink"/>
            <w:rFonts w:hint="cs"/>
            <w:rtl/>
          </w:rPr>
          <w:t>ی</w:t>
        </w:r>
        <w:r w:rsidRPr="00913F75">
          <w:rPr>
            <w:rStyle w:val="Hyperlink"/>
            <w:rFonts w:hint="eastAsia"/>
            <w:rtl/>
          </w:rPr>
          <w:t>،</w:t>
        </w:r>
        <w:r w:rsidRPr="00913F75">
          <w:rPr>
            <w:rStyle w:val="Hyperlink"/>
            <w:rtl/>
          </w:rPr>
          <w:t xml:space="preserve"> ج7، ص198.</w:t>
        </w:r>
      </w:hyperlink>
    </w:p>
  </w:footnote>
  <w:footnote w:id="2">
    <w:p w14:paraId="67ABF2F4" w14:textId="7746F724" w:rsidR="00913F75" w:rsidRPr="00913F75" w:rsidRDefault="00913F75" w:rsidP="00913F75">
      <w:pPr>
        <w:pStyle w:val="FootnoteText"/>
      </w:pPr>
      <w:r w:rsidRPr="00913F75">
        <w:footnoteRef/>
      </w:r>
      <w:r w:rsidRPr="00913F75">
        <w:rPr>
          <w:rtl/>
        </w:rPr>
        <w:t xml:space="preserve"> </w:t>
      </w:r>
      <w:hyperlink r:id="rId2" w:history="1">
        <w:r w:rsidRPr="00913F75">
          <w:rPr>
            <w:rStyle w:val="Hyperlink"/>
            <w:rtl/>
          </w:rPr>
          <w:t xml:space="preserve">من لا </w:t>
        </w:r>
        <w:r w:rsidRPr="00913F75">
          <w:rPr>
            <w:rStyle w:val="Hyperlink"/>
            <w:rFonts w:hint="cs"/>
            <w:rtl/>
          </w:rPr>
          <w:t>ی</w:t>
        </w:r>
        <w:r w:rsidRPr="00913F75">
          <w:rPr>
            <w:rStyle w:val="Hyperlink"/>
            <w:rFonts w:hint="eastAsia"/>
            <w:rtl/>
          </w:rPr>
          <w:t>حضره</w:t>
        </w:r>
        <w:r w:rsidRPr="00913F75">
          <w:rPr>
            <w:rStyle w:val="Hyperlink"/>
            <w:rtl/>
          </w:rPr>
          <w:t xml:space="preserve"> الفق</w:t>
        </w:r>
        <w:r w:rsidRPr="00913F75">
          <w:rPr>
            <w:rStyle w:val="Hyperlink"/>
            <w:rFonts w:hint="cs"/>
            <w:rtl/>
          </w:rPr>
          <w:t>ی</w:t>
        </w:r>
        <w:r w:rsidRPr="00913F75">
          <w:rPr>
            <w:rStyle w:val="Hyperlink"/>
            <w:rFonts w:hint="eastAsia"/>
            <w:rtl/>
          </w:rPr>
          <w:t>ه،</w:t>
        </w:r>
        <w:r w:rsidRPr="00913F75">
          <w:rPr>
            <w:rStyle w:val="Hyperlink"/>
            <w:rtl/>
          </w:rPr>
          <w:t xml:space="preserve"> ش</w:t>
        </w:r>
        <w:r w:rsidRPr="00913F75">
          <w:rPr>
            <w:rStyle w:val="Hyperlink"/>
            <w:rFonts w:hint="cs"/>
            <w:rtl/>
          </w:rPr>
          <w:t>ی</w:t>
        </w:r>
        <w:r w:rsidRPr="00913F75">
          <w:rPr>
            <w:rStyle w:val="Hyperlink"/>
            <w:rFonts w:hint="eastAsia"/>
            <w:rtl/>
          </w:rPr>
          <w:t>خ</w:t>
        </w:r>
        <w:r w:rsidRPr="00913F75">
          <w:rPr>
            <w:rStyle w:val="Hyperlink"/>
            <w:rtl/>
          </w:rPr>
          <w:t xml:space="preserve"> صدوق، ج4، ص221.</w:t>
        </w:r>
      </w:hyperlink>
    </w:p>
  </w:footnote>
  <w:footnote w:id="3">
    <w:p w14:paraId="383D3BA5" w14:textId="573DCDD0" w:rsidR="00913F75" w:rsidRPr="00913F75" w:rsidRDefault="00913F75" w:rsidP="00913F75">
      <w:pPr>
        <w:pStyle w:val="FootnoteText"/>
        <w:rPr>
          <w:rtl/>
        </w:rPr>
      </w:pPr>
      <w:r w:rsidRPr="00913F75">
        <w:footnoteRef/>
      </w:r>
      <w:r w:rsidRPr="00913F75">
        <w:rPr>
          <w:rtl/>
        </w:rPr>
        <w:t xml:space="preserve"> </w:t>
      </w:r>
      <w:hyperlink r:id="rId3" w:history="1">
        <w:r w:rsidRPr="00913F75">
          <w:rPr>
            <w:rStyle w:val="Hyperlink"/>
            <w:rtl/>
          </w:rPr>
          <w:t>الکاف</w:t>
        </w:r>
        <w:r w:rsidRPr="00913F75">
          <w:rPr>
            <w:rStyle w:val="Hyperlink"/>
            <w:rFonts w:hint="cs"/>
            <w:rtl/>
          </w:rPr>
          <w:t>ی</w:t>
        </w:r>
        <w:r w:rsidRPr="00913F75">
          <w:rPr>
            <w:rStyle w:val="Hyperlink"/>
            <w:rFonts w:hint="eastAsia"/>
            <w:rtl/>
          </w:rPr>
          <w:t>،</w:t>
        </w:r>
        <w:r w:rsidRPr="00913F75">
          <w:rPr>
            <w:rStyle w:val="Hyperlink"/>
            <w:rtl/>
          </w:rPr>
          <w:t xml:space="preserve"> محمد بن </w:t>
        </w:r>
        <w:r w:rsidRPr="00913F75">
          <w:rPr>
            <w:rStyle w:val="Hyperlink"/>
            <w:rFonts w:hint="cs"/>
            <w:rtl/>
          </w:rPr>
          <w:t>ی</w:t>
        </w:r>
        <w:r w:rsidRPr="00913F75">
          <w:rPr>
            <w:rStyle w:val="Hyperlink"/>
            <w:rFonts w:hint="eastAsia"/>
            <w:rtl/>
          </w:rPr>
          <w:t>عقوب</w:t>
        </w:r>
        <w:r w:rsidRPr="00913F75">
          <w:rPr>
            <w:rStyle w:val="Hyperlink"/>
            <w:rtl/>
          </w:rPr>
          <w:t xml:space="preserve"> کل</w:t>
        </w:r>
        <w:r w:rsidRPr="00913F75">
          <w:rPr>
            <w:rStyle w:val="Hyperlink"/>
            <w:rFonts w:hint="cs"/>
            <w:rtl/>
          </w:rPr>
          <w:t>ی</w:t>
        </w:r>
        <w:r w:rsidRPr="00913F75">
          <w:rPr>
            <w:rStyle w:val="Hyperlink"/>
            <w:rFonts w:hint="eastAsia"/>
            <w:rtl/>
          </w:rPr>
          <w:t>ن</w:t>
        </w:r>
        <w:r w:rsidRPr="00913F75">
          <w:rPr>
            <w:rStyle w:val="Hyperlink"/>
            <w:rFonts w:hint="cs"/>
            <w:rtl/>
          </w:rPr>
          <w:t>ی</w:t>
        </w:r>
        <w:r w:rsidRPr="00913F75">
          <w:rPr>
            <w:rStyle w:val="Hyperlink"/>
            <w:rFonts w:hint="eastAsia"/>
            <w:rtl/>
          </w:rPr>
          <w:t>،</w:t>
        </w:r>
        <w:r w:rsidRPr="00913F75">
          <w:rPr>
            <w:rStyle w:val="Hyperlink"/>
            <w:rtl/>
          </w:rPr>
          <w:t xml:space="preserve"> ج5، ص393.</w:t>
        </w:r>
      </w:hyperlink>
    </w:p>
  </w:footnote>
  <w:footnote w:id="4">
    <w:p w14:paraId="34A82147" w14:textId="6187C1EE" w:rsidR="00913F75" w:rsidRPr="00913F75" w:rsidRDefault="00913F75" w:rsidP="00913F75">
      <w:pPr>
        <w:pStyle w:val="FootnoteText"/>
      </w:pPr>
      <w:r w:rsidRPr="00913F75">
        <w:footnoteRef/>
      </w:r>
      <w:r w:rsidRPr="00913F75">
        <w:rPr>
          <w:rtl/>
        </w:rPr>
        <w:t xml:space="preserve"> </w:t>
      </w:r>
      <w:hyperlink r:id="rId4" w:history="1">
        <w:r w:rsidRPr="00913F75">
          <w:rPr>
            <w:rStyle w:val="Hyperlink"/>
            <w:rtl/>
          </w:rPr>
          <w:t>استبصار، ش</w:t>
        </w:r>
        <w:r w:rsidRPr="00913F75">
          <w:rPr>
            <w:rStyle w:val="Hyperlink"/>
            <w:rFonts w:hint="cs"/>
            <w:rtl/>
          </w:rPr>
          <w:t>ی</w:t>
        </w:r>
        <w:r w:rsidRPr="00913F75">
          <w:rPr>
            <w:rStyle w:val="Hyperlink"/>
            <w:rFonts w:hint="eastAsia"/>
            <w:rtl/>
          </w:rPr>
          <w:t>خ</w:t>
        </w:r>
        <w:r w:rsidRPr="00913F75">
          <w:rPr>
            <w:rStyle w:val="Hyperlink"/>
            <w:rtl/>
          </w:rPr>
          <w:t xml:space="preserve"> طوس</w:t>
        </w:r>
        <w:r w:rsidRPr="00913F75">
          <w:rPr>
            <w:rStyle w:val="Hyperlink"/>
            <w:rFonts w:hint="cs"/>
            <w:rtl/>
          </w:rPr>
          <w:t>ی</w:t>
        </w:r>
        <w:r w:rsidRPr="00913F75">
          <w:rPr>
            <w:rStyle w:val="Hyperlink"/>
            <w:rFonts w:hint="eastAsia"/>
            <w:rtl/>
          </w:rPr>
          <w:t>،</w:t>
        </w:r>
        <w:r w:rsidRPr="00913F75">
          <w:rPr>
            <w:rStyle w:val="Hyperlink"/>
            <w:rtl/>
          </w:rPr>
          <w:t xml:space="preserve"> ج3، ص235.</w:t>
        </w:r>
      </w:hyperlink>
    </w:p>
  </w:footnote>
  <w:footnote w:id="5">
    <w:p w14:paraId="3CAC61FB" w14:textId="57880415" w:rsidR="00913F75" w:rsidRPr="00913F75" w:rsidRDefault="00913F75" w:rsidP="00913F75">
      <w:pPr>
        <w:pStyle w:val="FootnoteText"/>
      </w:pPr>
      <w:r w:rsidRPr="00913F75">
        <w:footnoteRef/>
      </w:r>
      <w:r w:rsidRPr="00913F75">
        <w:rPr>
          <w:rtl/>
        </w:rPr>
        <w:t xml:space="preserve"> </w:t>
      </w:r>
      <w:hyperlink r:id="rId5" w:history="1">
        <w:r w:rsidRPr="00913F75">
          <w:rPr>
            <w:rStyle w:val="Hyperlink"/>
            <w:rtl/>
          </w:rPr>
          <w:t xml:space="preserve">جواهر </w:t>
        </w:r>
        <w:r w:rsidRPr="00913F75">
          <w:rPr>
            <w:rStyle w:val="Hyperlink"/>
            <w:rtl/>
          </w:rPr>
          <w:t>الکلام، محمد حسن نجف</w:t>
        </w:r>
        <w:r w:rsidRPr="00913F75">
          <w:rPr>
            <w:rStyle w:val="Hyperlink"/>
            <w:rFonts w:hint="cs"/>
            <w:rtl/>
          </w:rPr>
          <w:t>ی</w:t>
        </w:r>
        <w:r w:rsidRPr="00913F75">
          <w:rPr>
            <w:rStyle w:val="Hyperlink"/>
            <w:rFonts w:hint="eastAsia"/>
            <w:rtl/>
          </w:rPr>
          <w:t>،</w:t>
        </w:r>
        <w:r w:rsidRPr="00913F75">
          <w:rPr>
            <w:rStyle w:val="Hyperlink"/>
            <w:rtl/>
          </w:rPr>
          <w:t xml:space="preserve"> ج40، ص12.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7723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66090"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24309C">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24309C">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24309C">
      <w:rPr>
        <w:b/>
        <w:bCs/>
        <w:color w:val="632423" w:themeColor="accent2" w:themeShade="80"/>
        <w:sz w:val="20"/>
        <w:szCs w:val="24"/>
        <w:rtl/>
      </w:rPr>
      <w:t>قائ</w:t>
    </w:r>
    <w:r w:rsidR="0024309C">
      <w:rPr>
        <w:rFonts w:hint="cs"/>
        <w:b/>
        <w:bCs/>
        <w:color w:val="632423" w:themeColor="accent2" w:themeShade="80"/>
        <w:sz w:val="20"/>
        <w:szCs w:val="24"/>
        <w:rtl/>
      </w:rPr>
      <w:t>ی</w:t>
    </w:r>
    <w:r w:rsidR="0024309C">
      <w:rPr>
        <w:rFonts w:hint="eastAsia"/>
        <w:b/>
        <w:bCs/>
        <w:color w:val="632423" w:themeColor="accent2" w:themeShade="80"/>
        <w:sz w:val="20"/>
        <w:szCs w:val="24"/>
        <w:rtl/>
      </w:rPr>
      <w:t>ن</w:t>
    </w:r>
    <w:r w:rsidR="0024309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24309C">
      <w:rPr>
        <w:sz w:val="24"/>
        <w:szCs w:val="24"/>
        <w:rtl/>
      </w:rPr>
      <w:t>5 /1 /1399</w:t>
    </w:r>
  </w:p>
  <w:p w14:paraId="430333C7"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24309C">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24309C">
      <w:rPr>
        <w:sz w:val="24"/>
        <w:szCs w:val="24"/>
        <w:rtl/>
      </w:rPr>
      <w:t>مهد</w:t>
    </w:r>
    <w:r w:rsidR="0024309C">
      <w:rPr>
        <w:rFonts w:hint="cs"/>
        <w:sz w:val="24"/>
        <w:szCs w:val="24"/>
        <w:rtl/>
      </w:rPr>
      <w:t>ی</w:t>
    </w:r>
    <w:r w:rsidR="0024309C">
      <w:rPr>
        <w:sz w:val="24"/>
        <w:szCs w:val="24"/>
        <w:rtl/>
      </w:rPr>
      <w:t xml:space="preserve"> خسروب</w:t>
    </w:r>
    <w:r w:rsidR="0024309C">
      <w:rPr>
        <w:rFonts w:hint="cs"/>
        <w:sz w:val="24"/>
        <w:szCs w:val="24"/>
        <w:rtl/>
      </w:rPr>
      <w:t>ی</w:t>
    </w:r>
    <w:r w:rsidR="0024309C">
      <w:rPr>
        <w:rFonts w:hint="eastAsia"/>
        <w:sz w:val="24"/>
        <w:szCs w:val="24"/>
        <w:rtl/>
      </w:rPr>
      <w:t>گ</w:t>
    </w:r>
    <w:r w:rsidR="0024309C">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24309C">
      <w:rPr>
        <w:sz w:val="24"/>
        <w:szCs w:val="24"/>
        <w:rtl/>
      </w:rPr>
      <w:t>شروط قاض</w:t>
    </w:r>
    <w:r w:rsidR="0024309C">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ABF97"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72350"/>
    <w:rsid w:val="00080A41"/>
    <w:rsid w:val="0008299B"/>
    <w:rsid w:val="000913AA"/>
    <w:rsid w:val="00094847"/>
    <w:rsid w:val="00094936"/>
    <w:rsid w:val="00096C63"/>
    <w:rsid w:val="000B5DB5"/>
    <w:rsid w:val="000B6B9A"/>
    <w:rsid w:val="000C3947"/>
    <w:rsid w:val="000D2A37"/>
    <w:rsid w:val="000D30E9"/>
    <w:rsid w:val="000D6818"/>
    <w:rsid w:val="000E335E"/>
    <w:rsid w:val="000F16CF"/>
    <w:rsid w:val="000F5BAC"/>
    <w:rsid w:val="00102205"/>
    <w:rsid w:val="00102585"/>
    <w:rsid w:val="00114AB7"/>
    <w:rsid w:val="00116B2B"/>
    <w:rsid w:val="00124E3D"/>
    <w:rsid w:val="00127E95"/>
    <w:rsid w:val="00130659"/>
    <w:rsid w:val="001347C7"/>
    <w:rsid w:val="001356B0"/>
    <w:rsid w:val="00151937"/>
    <w:rsid w:val="00181844"/>
    <w:rsid w:val="001837E9"/>
    <w:rsid w:val="00187DFA"/>
    <w:rsid w:val="00191B39"/>
    <w:rsid w:val="001A1BC1"/>
    <w:rsid w:val="001A1EA5"/>
    <w:rsid w:val="001A2574"/>
    <w:rsid w:val="001A27D7"/>
    <w:rsid w:val="001A294E"/>
    <w:rsid w:val="001A4ED8"/>
    <w:rsid w:val="001B14A5"/>
    <w:rsid w:val="001B2488"/>
    <w:rsid w:val="001B6799"/>
    <w:rsid w:val="001C1362"/>
    <w:rsid w:val="001D2E9A"/>
    <w:rsid w:val="001D597F"/>
    <w:rsid w:val="001E3FD4"/>
    <w:rsid w:val="0020241A"/>
    <w:rsid w:val="00203821"/>
    <w:rsid w:val="00211632"/>
    <w:rsid w:val="0021630D"/>
    <w:rsid w:val="0024121B"/>
    <w:rsid w:val="0024309C"/>
    <w:rsid w:val="00247D2F"/>
    <w:rsid w:val="00256560"/>
    <w:rsid w:val="0027605E"/>
    <w:rsid w:val="00281E00"/>
    <w:rsid w:val="00294A52"/>
    <w:rsid w:val="002B575F"/>
    <w:rsid w:val="002B729B"/>
    <w:rsid w:val="002C23B5"/>
    <w:rsid w:val="002C53A2"/>
    <w:rsid w:val="002D0040"/>
    <w:rsid w:val="002D2FA8"/>
    <w:rsid w:val="002E220F"/>
    <w:rsid w:val="00301990"/>
    <w:rsid w:val="00307311"/>
    <w:rsid w:val="0032100F"/>
    <w:rsid w:val="00324A9B"/>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33DD"/>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7AEC"/>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5FC5"/>
    <w:rsid w:val="0080091D"/>
    <w:rsid w:val="00804108"/>
    <w:rsid w:val="00804FC4"/>
    <w:rsid w:val="00816367"/>
    <w:rsid w:val="00816A0B"/>
    <w:rsid w:val="00824B22"/>
    <w:rsid w:val="00830C53"/>
    <w:rsid w:val="00837FAA"/>
    <w:rsid w:val="00841F77"/>
    <w:rsid w:val="00846019"/>
    <w:rsid w:val="0085276D"/>
    <w:rsid w:val="008534FE"/>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3F75"/>
    <w:rsid w:val="00923C34"/>
    <w:rsid w:val="00924152"/>
    <w:rsid w:val="0092513D"/>
    <w:rsid w:val="00927A9F"/>
    <w:rsid w:val="009335CC"/>
    <w:rsid w:val="00935A55"/>
    <w:rsid w:val="00941CEB"/>
    <w:rsid w:val="0094720F"/>
    <w:rsid w:val="00953B28"/>
    <w:rsid w:val="00954322"/>
    <w:rsid w:val="00957CAA"/>
    <w:rsid w:val="00964D5B"/>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182E"/>
    <w:rsid w:val="00B43169"/>
    <w:rsid w:val="00B501A8"/>
    <w:rsid w:val="00B55AE4"/>
    <w:rsid w:val="00B6539A"/>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16AE"/>
    <w:rsid w:val="00D922A9"/>
    <w:rsid w:val="00D9394A"/>
    <w:rsid w:val="00DB0CBB"/>
    <w:rsid w:val="00DB67CC"/>
    <w:rsid w:val="00DC3783"/>
    <w:rsid w:val="00DE1070"/>
    <w:rsid w:val="00DF0B9F"/>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5591"/>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5C45"/>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A9632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913F75"/>
    <w:rPr>
      <w:color w:val="605E5C"/>
      <w:shd w:val="clear" w:color="auto" w:fill="E1DFDD"/>
    </w:rPr>
  </w:style>
  <w:style w:type="character" w:styleId="FollowedHyperlink">
    <w:name w:val="FollowedHyperlink"/>
    <w:basedOn w:val="DefaultParagraphFont"/>
    <w:uiPriority w:val="99"/>
    <w:semiHidden/>
    <w:unhideWhenUsed/>
    <w:rsid w:val="000949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5/393/&#1575;&#1604;&#1581;&#1604;&#1576;&#1610;" TargetMode="External"/><Relationship Id="rId2" Type="http://schemas.openxmlformats.org/officeDocument/2006/relationships/hyperlink" Target="http://lib.eshia.ir/11021/4/221/&#1637;&#1637;&#1634;&#1634;" TargetMode="External"/><Relationship Id="rId1" Type="http://schemas.openxmlformats.org/officeDocument/2006/relationships/hyperlink" Target="http://lib.eshia.ir/11005/7/198/&#1740;&#1588;&#1593;&#1585;" TargetMode="External"/><Relationship Id="rId5" Type="http://schemas.openxmlformats.org/officeDocument/2006/relationships/hyperlink" Target="http://lib.eshia.ir/10088/40/12/&#1608;&#1605;&#1606;&#1589;&#1576;" TargetMode="External"/><Relationship Id="rId4" Type="http://schemas.openxmlformats.org/officeDocument/2006/relationships/hyperlink" Target="http://lib.eshia.ir/11002/3/235/&#1576;&#1585;&#1590;&#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6B425-7855-4DF0-8142-F33920A48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1046</Words>
  <Characters>5966</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2020-04-16T06:14:00Z</cp:lastPrinted>
  <dcterms:created xsi:type="dcterms:W3CDTF">2020-04-16T06:14:00Z</dcterms:created>
  <dcterms:modified xsi:type="dcterms:W3CDTF">2020-04-16T06:16:00Z</dcterms:modified>
  <cp:contentStatus>ویرایش 2.5</cp:contentStatus>
  <cp:version>2.7</cp:version>
</cp:coreProperties>
</file>