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AEB66" w14:textId="77777777" w:rsidR="008B750B" w:rsidRPr="008A522A" w:rsidRDefault="00783473" w:rsidP="009C66D5">
      <w:pPr>
        <w:jc w:val="center"/>
        <w:rPr>
          <w:rtl/>
        </w:rPr>
      </w:pPr>
      <w:r>
        <w:rPr>
          <w:rFonts w:hint="cs"/>
          <w:noProof/>
          <w:rtl/>
        </w:rPr>
        <w:drawing>
          <wp:inline distT="0" distB="0" distL="0" distR="0" wp14:anchorId="5C13C9BB" wp14:editId="7E2EE345">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980A24D" w14:textId="00A23653" w:rsidR="0083507B"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144174" w:history="1">
        <w:r w:rsidR="0083507B" w:rsidRPr="001014BE">
          <w:rPr>
            <w:rStyle w:val="Hyperlink"/>
            <w:noProof/>
            <w:rtl/>
          </w:rPr>
          <w:t>روا</w:t>
        </w:r>
        <w:r w:rsidR="0083507B" w:rsidRPr="001014BE">
          <w:rPr>
            <w:rStyle w:val="Hyperlink"/>
            <w:rFonts w:hint="cs"/>
            <w:noProof/>
            <w:rtl/>
          </w:rPr>
          <w:t>ی</w:t>
        </w:r>
        <w:r w:rsidR="0083507B" w:rsidRPr="001014BE">
          <w:rPr>
            <w:rStyle w:val="Hyperlink"/>
            <w:rFonts w:hint="eastAsia"/>
            <w:noProof/>
            <w:rtl/>
          </w:rPr>
          <w:t>ات</w:t>
        </w:r>
        <w:r w:rsidR="0083507B" w:rsidRPr="001014BE">
          <w:rPr>
            <w:rStyle w:val="Hyperlink"/>
            <w:noProof/>
            <w:rtl/>
          </w:rPr>
          <w:t xml:space="preserve"> دال بر شرط</w:t>
        </w:r>
        <w:r w:rsidR="0083507B" w:rsidRPr="001014BE">
          <w:rPr>
            <w:rStyle w:val="Hyperlink"/>
            <w:rFonts w:hint="cs"/>
            <w:noProof/>
            <w:rtl/>
          </w:rPr>
          <w:t>ی</w:t>
        </w:r>
        <w:r w:rsidR="0083507B" w:rsidRPr="001014BE">
          <w:rPr>
            <w:rStyle w:val="Hyperlink"/>
            <w:rFonts w:hint="eastAsia"/>
            <w:noProof/>
            <w:rtl/>
          </w:rPr>
          <w:t>ت</w:t>
        </w:r>
        <w:r w:rsidR="0083507B" w:rsidRPr="001014BE">
          <w:rPr>
            <w:rStyle w:val="Hyperlink"/>
            <w:noProof/>
            <w:rtl/>
          </w:rPr>
          <w:t xml:space="preserve"> اجتهاد در قاض</w:t>
        </w:r>
        <w:r w:rsidR="0083507B" w:rsidRPr="001014BE">
          <w:rPr>
            <w:rStyle w:val="Hyperlink"/>
            <w:rFonts w:hint="cs"/>
            <w:noProof/>
            <w:rtl/>
          </w:rPr>
          <w:t>ی</w:t>
        </w:r>
        <w:r w:rsidR="0083507B">
          <w:rPr>
            <w:noProof/>
            <w:webHidden/>
            <w:rtl/>
          </w:rPr>
          <w:tab/>
        </w:r>
        <w:r w:rsidR="0083507B">
          <w:rPr>
            <w:noProof/>
            <w:webHidden/>
            <w:rtl/>
          </w:rPr>
          <w:fldChar w:fldCharType="begin"/>
        </w:r>
        <w:r w:rsidR="0083507B">
          <w:rPr>
            <w:noProof/>
            <w:webHidden/>
            <w:rtl/>
          </w:rPr>
          <w:instrText xml:space="preserve"> </w:instrText>
        </w:r>
        <w:r w:rsidR="0083507B">
          <w:rPr>
            <w:noProof/>
            <w:webHidden/>
          </w:rPr>
          <w:instrText>PAGEREF</w:instrText>
        </w:r>
        <w:r w:rsidR="0083507B">
          <w:rPr>
            <w:noProof/>
            <w:webHidden/>
            <w:rtl/>
          </w:rPr>
          <w:instrText xml:space="preserve"> _</w:instrText>
        </w:r>
        <w:r w:rsidR="0083507B">
          <w:rPr>
            <w:noProof/>
            <w:webHidden/>
          </w:rPr>
          <w:instrText>Toc</w:instrText>
        </w:r>
        <w:r w:rsidR="0083507B">
          <w:rPr>
            <w:noProof/>
            <w:webHidden/>
            <w:rtl/>
          </w:rPr>
          <w:instrText xml:space="preserve">46144174 </w:instrText>
        </w:r>
        <w:r w:rsidR="0083507B">
          <w:rPr>
            <w:noProof/>
            <w:webHidden/>
          </w:rPr>
          <w:instrText>\h</w:instrText>
        </w:r>
        <w:r w:rsidR="0083507B">
          <w:rPr>
            <w:noProof/>
            <w:webHidden/>
            <w:rtl/>
          </w:rPr>
          <w:instrText xml:space="preserve"> </w:instrText>
        </w:r>
        <w:r w:rsidR="0083507B">
          <w:rPr>
            <w:noProof/>
            <w:webHidden/>
            <w:rtl/>
          </w:rPr>
        </w:r>
        <w:r w:rsidR="0083507B">
          <w:rPr>
            <w:noProof/>
            <w:webHidden/>
            <w:rtl/>
          </w:rPr>
          <w:fldChar w:fldCharType="separate"/>
        </w:r>
        <w:r w:rsidR="0083507B">
          <w:rPr>
            <w:noProof/>
            <w:webHidden/>
            <w:rtl/>
          </w:rPr>
          <w:t>1</w:t>
        </w:r>
        <w:r w:rsidR="0083507B">
          <w:rPr>
            <w:noProof/>
            <w:webHidden/>
            <w:rtl/>
          </w:rPr>
          <w:fldChar w:fldCharType="end"/>
        </w:r>
      </w:hyperlink>
    </w:p>
    <w:p w14:paraId="56DF697E" w14:textId="7182EC50" w:rsidR="0083507B" w:rsidRDefault="00E72446">
      <w:pPr>
        <w:pStyle w:val="TOC2"/>
        <w:tabs>
          <w:tab w:val="right" w:leader="dot" w:pos="10194"/>
        </w:tabs>
        <w:rPr>
          <w:rFonts w:asciiTheme="minorHAnsi" w:eastAsiaTheme="minorEastAsia" w:hAnsiTheme="minorHAnsi" w:cstheme="minorBidi"/>
          <w:bCs w:val="0"/>
          <w:noProof/>
          <w:color w:val="auto"/>
          <w:szCs w:val="22"/>
          <w:rtl/>
          <w:lang w:bidi="ar-SA"/>
        </w:rPr>
      </w:pPr>
      <w:hyperlink w:anchor="_Toc46144175" w:history="1">
        <w:r w:rsidR="0083507B" w:rsidRPr="001014BE">
          <w:rPr>
            <w:rStyle w:val="Hyperlink"/>
            <w:noProof/>
            <w:rtl/>
          </w:rPr>
          <w:t>مفاد روا</w:t>
        </w:r>
        <w:r w:rsidR="0083507B" w:rsidRPr="001014BE">
          <w:rPr>
            <w:rStyle w:val="Hyperlink"/>
            <w:rFonts w:hint="cs"/>
            <w:noProof/>
            <w:rtl/>
          </w:rPr>
          <w:t>ی</w:t>
        </w:r>
        <w:r w:rsidR="0083507B" w:rsidRPr="001014BE">
          <w:rPr>
            <w:rStyle w:val="Hyperlink"/>
            <w:rFonts w:hint="eastAsia"/>
            <w:noProof/>
            <w:rtl/>
          </w:rPr>
          <w:t>ت</w:t>
        </w:r>
        <w:r w:rsidR="0083507B" w:rsidRPr="001014BE">
          <w:rPr>
            <w:rStyle w:val="Hyperlink"/>
            <w:noProof/>
            <w:rtl/>
          </w:rPr>
          <w:t xml:space="preserve"> اب</w:t>
        </w:r>
        <w:r w:rsidR="0083507B" w:rsidRPr="001014BE">
          <w:rPr>
            <w:rStyle w:val="Hyperlink"/>
            <w:rFonts w:hint="cs"/>
            <w:noProof/>
            <w:rtl/>
          </w:rPr>
          <w:t>ی</w:t>
        </w:r>
        <w:r w:rsidR="0083507B" w:rsidRPr="001014BE">
          <w:rPr>
            <w:rStyle w:val="Hyperlink"/>
            <w:noProof/>
            <w:rtl/>
          </w:rPr>
          <w:t xml:space="preserve"> خد</w:t>
        </w:r>
        <w:r w:rsidR="0083507B" w:rsidRPr="001014BE">
          <w:rPr>
            <w:rStyle w:val="Hyperlink"/>
            <w:rFonts w:hint="cs"/>
            <w:noProof/>
            <w:rtl/>
          </w:rPr>
          <w:t>ی</w:t>
        </w:r>
        <w:r w:rsidR="0083507B" w:rsidRPr="001014BE">
          <w:rPr>
            <w:rStyle w:val="Hyperlink"/>
            <w:rFonts w:hint="eastAsia"/>
            <w:noProof/>
            <w:rtl/>
          </w:rPr>
          <w:t>جه</w:t>
        </w:r>
        <w:r w:rsidR="0083507B">
          <w:rPr>
            <w:noProof/>
            <w:webHidden/>
            <w:rtl/>
          </w:rPr>
          <w:tab/>
        </w:r>
        <w:r w:rsidR="0083507B">
          <w:rPr>
            <w:noProof/>
            <w:webHidden/>
            <w:rtl/>
          </w:rPr>
          <w:fldChar w:fldCharType="begin"/>
        </w:r>
        <w:r w:rsidR="0083507B">
          <w:rPr>
            <w:noProof/>
            <w:webHidden/>
            <w:rtl/>
          </w:rPr>
          <w:instrText xml:space="preserve"> </w:instrText>
        </w:r>
        <w:r w:rsidR="0083507B">
          <w:rPr>
            <w:noProof/>
            <w:webHidden/>
          </w:rPr>
          <w:instrText>PAGEREF</w:instrText>
        </w:r>
        <w:r w:rsidR="0083507B">
          <w:rPr>
            <w:noProof/>
            <w:webHidden/>
            <w:rtl/>
          </w:rPr>
          <w:instrText xml:space="preserve"> _</w:instrText>
        </w:r>
        <w:r w:rsidR="0083507B">
          <w:rPr>
            <w:noProof/>
            <w:webHidden/>
          </w:rPr>
          <w:instrText>Toc</w:instrText>
        </w:r>
        <w:r w:rsidR="0083507B">
          <w:rPr>
            <w:noProof/>
            <w:webHidden/>
            <w:rtl/>
          </w:rPr>
          <w:instrText xml:space="preserve">46144175 </w:instrText>
        </w:r>
        <w:r w:rsidR="0083507B">
          <w:rPr>
            <w:noProof/>
            <w:webHidden/>
          </w:rPr>
          <w:instrText>\h</w:instrText>
        </w:r>
        <w:r w:rsidR="0083507B">
          <w:rPr>
            <w:noProof/>
            <w:webHidden/>
            <w:rtl/>
          </w:rPr>
          <w:instrText xml:space="preserve"> </w:instrText>
        </w:r>
        <w:r w:rsidR="0083507B">
          <w:rPr>
            <w:noProof/>
            <w:webHidden/>
            <w:rtl/>
          </w:rPr>
        </w:r>
        <w:r w:rsidR="0083507B">
          <w:rPr>
            <w:noProof/>
            <w:webHidden/>
            <w:rtl/>
          </w:rPr>
          <w:fldChar w:fldCharType="separate"/>
        </w:r>
        <w:r w:rsidR="0083507B">
          <w:rPr>
            <w:noProof/>
            <w:webHidden/>
            <w:rtl/>
          </w:rPr>
          <w:t>1</w:t>
        </w:r>
        <w:r w:rsidR="0083507B">
          <w:rPr>
            <w:noProof/>
            <w:webHidden/>
            <w:rtl/>
          </w:rPr>
          <w:fldChar w:fldCharType="end"/>
        </w:r>
      </w:hyperlink>
    </w:p>
    <w:p w14:paraId="53DEFAFD" w14:textId="606F245E" w:rsidR="0083507B" w:rsidRDefault="00E72446">
      <w:pPr>
        <w:pStyle w:val="TOC2"/>
        <w:tabs>
          <w:tab w:val="right" w:leader="dot" w:pos="10194"/>
        </w:tabs>
        <w:rPr>
          <w:rFonts w:asciiTheme="minorHAnsi" w:eastAsiaTheme="minorEastAsia" w:hAnsiTheme="minorHAnsi" w:cstheme="minorBidi"/>
          <w:bCs w:val="0"/>
          <w:noProof/>
          <w:color w:val="auto"/>
          <w:szCs w:val="22"/>
          <w:rtl/>
          <w:lang w:bidi="ar-SA"/>
        </w:rPr>
      </w:pPr>
      <w:hyperlink w:anchor="_Toc46144176" w:history="1">
        <w:r w:rsidR="0083507B" w:rsidRPr="001014BE">
          <w:rPr>
            <w:rStyle w:val="Hyperlink"/>
            <w:noProof/>
            <w:rtl/>
          </w:rPr>
          <w:t>مفاد روا</w:t>
        </w:r>
        <w:r w:rsidR="0083507B" w:rsidRPr="001014BE">
          <w:rPr>
            <w:rStyle w:val="Hyperlink"/>
            <w:rFonts w:hint="cs"/>
            <w:noProof/>
            <w:rtl/>
          </w:rPr>
          <w:t>ی</w:t>
        </w:r>
        <w:r w:rsidR="0083507B" w:rsidRPr="001014BE">
          <w:rPr>
            <w:rStyle w:val="Hyperlink"/>
            <w:rFonts w:hint="eastAsia"/>
            <w:noProof/>
            <w:rtl/>
          </w:rPr>
          <w:t>ت</w:t>
        </w:r>
        <w:r w:rsidR="0083507B" w:rsidRPr="001014BE">
          <w:rPr>
            <w:rStyle w:val="Hyperlink"/>
            <w:noProof/>
            <w:rtl/>
          </w:rPr>
          <w:t xml:space="preserve"> حلب</w:t>
        </w:r>
        <w:r w:rsidR="0083507B" w:rsidRPr="001014BE">
          <w:rPr>
            <w:rStyle w:val="Hyperlink"/>
            <w:rFonts w:hint="cs"/>
            <w:noProof/>
            <w:rtl/>
          </w:rPr>
          <w:t>ی</w:t>
        </w:r>
        <w:r w:rsidR="0083507B">
          <w:rPr>
            <w:noProof/>
            <w:webHidden/>
            <w:rtl/>
          </w:rPr>
          <w:tab/>
        </w:r>
        <w:r w:rsidR="0083507B">
          <w:rPr>
            <w:noProof/>
            <w:webHidden/>
            <w:rtl/>
          </w:rPr>
          <w:fldChar w:fldCharType="begin"/>
        </w:r>
        <w:r w:rsidR="0083507B">
          <w:rPr>
            <w:noProof/>
            <w:webHidden/>
            <w:rtl/>
          </w:rPr>
          <w:instrText xml:space="preserve"> </w:instrText>
        </w:r>
        <w:r w:rsidR="0083507B">
          <w:rPr>
            <w:noProof/>
            <w:webHidden/>
          </w:rPr>
          <w:instrText>PAGEREF</w:instrText>
        </w:r>
        <w:r w:rsidR="0083507B">
          <w:rPr>
            <w:noProof/>
            <w:webHidden/>
            <w:rtl/>
          </w:rPr>
          <w:instrText xml:space="preserve"> _</w:instrText>
        </w:r>
        <w:r w:rsidR="0083507B">
          <w:rPr>
            <w:noProof/>
            <w:webHidden/>
          </w:rPr>
          <w:instrText>Toc</w:instrText>
        </w:r>
        <w:r w:rsidR="0083507B">
          <w:rPr>
            <w:noProof/>
            <w:webHidden/>
            <w:rtl/>
          </w:rPr>
          <w:instrText xml:space="preserve">46144176 </w:instrText>
        </w:r>
        <w:r w:rsidR="0083507B">
          <w:rPr>
            <w:noProof/>
            <w:webHidden/>
          </w:rPr>
          <w:instrText>\h</w:instrText>
        </w:r>
        <w:r w:rsidR="0083507B">
          <w:rPr>
            <w:noProof/>
            <w:webHidden/>
            <w:rtl/>
          </w:rPr>
          <w:instrText xml:space="preserve"> </w:instrText>
        </w:r>
        <w:r w:rsidR="0083507B">
          <w:rPr>
            <w:noProof/>
            <w:webHidden/>
            <w:rtl/>
          </w:rPr>
        </w:r>
        <w:r w:rsidR="0083507B">
          <w:rPr>
            <w:noProof/>
            <w:webHidden/>
            <w:rtl/>
          </w:rPr>
          <w:fldChar w:fldCharType="separate"/>
        </w:r>
        <w:r w:rsidR="0083507B">
          <w:rPr>
            <w:noProof/>
            <w:webHidden/>
            <w:rtl/>
          </w:rPr>
          <w:t>3</w:t>
        </w:r>
        <w:r w:rsidR="0083507B">
          <w:rPr>
            <w:noProof/>
            <w:webHidden/>
            <w:rtl/>
          </w:rPr>
          <w:fldChar w:fldCharType="end"/>
        </w:r>
      </w:hyperlink>
    </w:p>
    <w:p w14:paraId="66C5718F" w14:textId="2C4F8B30" w:rsidR="00C91EB6" w:rsidRPr="00C91EB6" w:rsidRDefault="00A01522" w:rsidP="00C91EB6">
      <w:r>
        <w:rPr>
          <w:rFonts w:cs="B Titr"/>
          <w:noProof/>
          <w:webHidden/>
          <w:color w:val="632423" w:themeColor="accent2" w:themeShade="80"/>
          <w:szCs w:val="24"/>
          <w:rtl/>
        </w:rPr>
        <w:fldChar w:fldCharType="end"/>
      </w:r>
    </w:p>
    <w:p w14:paraId="3FA25C0E"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F7FEB">
        <w:rPr>
          <w:rtl/>
        </w:rPr>
        <w:t>شروط قاض</w:t>
      </w:r>
      <w:r w:rsidR="007F7FEB">
        <w:rPr>
          <w:rFonts w:hint="cs"/>
          <w:rtl/>
        </w:rPr>
        <w:t>ی</w:t>
      </w:r>
      <w:r w:rsidR="00025B70">
        <w:rPr>
          <w:rFonts w:hint="cs"/>
          <w:rtl/>
        </w:rPr>
        <w:t xml:space="preserve"> </w:t>
      </w:r>
      <w:r w:rsidR="00386C11" w:rsidRPr="00A6366F">
        <w:rPr>
          <w:rFonts w:hint="cs"/>
          <w:rtl/>
        </w:rPr>
        <w:t>/</w:t>
      </w:r>
      <w:bookmarkStart w:id="1" w:name="BokSabj_d"/>
      <w:bookmarkEnd w:id="1"/>
      <w:r w:rsidR="007F7FEB">
        <w:rPr>
          <w:rtl/>
        </w:rPr>
        <w:t>القضا</w:t>
      </w:r>
      <w:r w:rsidR="00386C11" w:rsidRPr="00A6366F">
        <w:rPr>
          <w:rFonts w:hint="cs"/>
          <w:rtl/>
        </w:rPr>
        <w:t xml:space="preserve"> /</w:t>
      </w:r>
      <w:bookmarkStart w:id="2" w:name="Bokkolli"/>
      <w:bookmarkEnd w:id="2"/>
      <w:r w:rsidR="007F7FEB">
        <w:rPr>
          <w:rtl/>
        </w:rPr>
        <w:t>کتاب القضا</w:t>
      </w:r>
      <w:r w:rsidR="001B6799" w:rsidRPr="00A6366F">
        <w:rPr>
          <w:rFonts w:hint="cs"/>
          <w:rtl/>
        </w:rPr>
        <w:t xml:space="preserve"> </w:t>
      </w:r>
    </w:p>
    <w:p w14:paraId="52B26E82"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D2C1BB0" w14:textId="0777E820" w:rsidR="00B5552A" w:rsidRDefault="00B5552A" w:rsidP="00B5552A">
      <w:pPr>
        <w:jc w:val="both"/>
        <w:rPr>
          <w:sz w:val="28"/>
          <w:rtl/>
        </w:rPr>
      </w:pPr>
      <w:r w:rsidRPr="006B49FC">
        <w:rPr>
          <w:rFonts w:hint="cs"/>
          <w:sz w:val="28"/>
          <w:rtl/>
        </w:rPr>
        <w:t>بحث ما در شرطیت اجتهاد در قاضی به روایات خاصه</w:t>
      </w:r>
      <w:r w:rsidR="00423193" w:rsidRPr="00423193">
        <w:rPr>
          <w:rFonts w:hint="cs"/>
          <w:sz w:val="28"/>
          <w:rtl/>
        </w:rPr>
        <w:t xml:space="preserve"> </w:t>
      </w:r>
      <w:r w:rsidR="00423193" w:rsidRPr="006B49FC">
        <w:rPr>
          <w:rFonts w:hint="cs"/>
          <w:sz w:val="28"/>
          <w:rtl/>
        </w:rPr>
        <w:t>منتهی شد</w:t>
      </w:r>
      <w:r w:rsidRPr="006B49FC">
        <w:rPr>
          <w:rFonts w:hint="cs"/>
          <w:sz w:val="28"/>
          <w:rtl/>
        </w:rPr>
        <w:t xml:space="preserve">. </w:t>
      </w:r>
      <w:r w:rsidR="00423193" w:rsidRPr="006B49FC">
        <w:rPr>
          <w:rFonts w:hint="cs"/>
          <w:sz w:val="28"/>
          <w:rtl/>
        </w:rPr>
        <w:t xml:space="preserve">بحث </w:t>
      </w:r>
      <w:r w:rsidRPr="006B49FC">
        <w:rPr>
          <w:rFonts w:hint="cs"/>
          <w:sz w:val="28"/>
          <w:rtl/>
        </w:rPr>
        <w:t>در روایت ابی خدیجه بود. صاحب جواهر و میرزای قمی به این روایت بر جواز قضای عامی استدلال کرده بودند. گفتیم این روایت دلالت بر جواز قضای عامی ندارد.</w:t>
      </w:r>
    </w:p>
    <w:p w14:paraId="7CD009BD" w14:textId="2D631948" w:rsidR="0083507B" w:rsidRDefault="0083507B" w:rsidP="0083507B">
      <w:pPr>
        <w:pStyle w:val="Heading1"/>
        <w:rPr>
          <w:sz w:val="28"/>
          <w:rtl/>
        </w:rPr>
      </w:pPr>
      <w:bookmarkStart w:id="3" w:name="_Toc43643200"/>
      <w:bookmarkStart w:id="4" w:name="_Toc46144174"/>
      <w:r>
        <w:rPr>
          <w:rFonts w:hint="cs"/>
          <w:rtl/>
        </w:rPr>
        <w:t>روایات دال بر شرطیت اجتهاد در قاضی</w:t>
      </w:r>
      <w:bookmarkEnd w:id="3"/>
      <w:bookmarkEnd w:id="4"/>
    </w:p>
    <w:p w14:paraId="4F94667E" w14:textId="72F2B6E1" w:rsidR="00B5552A" w:rsidRDefault="008F0376" w:rsidP="0083507B">
      <w:pPr>
        <w:pStyle w:val="Heading2"/>
        <w:rPr>
          <w:rtl/>
        </w:rPr>
      </w:pPr>
      <w:bookmarkStart w:id="5" w:name="_Toc46144175"/>
      <w:r>
        <w:rPr>
          <w:rFonts w:hint="cs"/>
          <w:rtl/>
        </w:rPr>
        <w:t>مفاد روایت ابی خدیجه</w:t>
      </w:r>
      <w:bookmarkEnd w:id="5"/>
    </w:p>
    <w:p w14:paraId="22F0F08A" w14:textId="702ED453" w:rsidR="00B5552A" w:rsidRPr="006B49FC" w:rsidRDefault="00B5552A" w:rsidP="00B5552A">
      <w:pPr>
        <w:jc w:val="both"/>
        <w:rPr>
          <w:sz w:val="28"/>
          <w:rtl/>
        </w:rPr>
      </w:pPr>
      <w:r w:rsidRPr="006B49FC">
        <w:rPr>
          <w:rFonts w:hint="cs"/>
          <w:sz w:val="28"/>
          <w:rtl/>
        </w:rPr>
        <w:t xml:space="preserve">گفتیم مفاد این روایت این است که قضاوت برای کسی جایز است که علم به حکم ائمه داشته باشد و عامی عرفا علم به حکم ائمه علیهم السلام ندارد بلکه عالم به فتوا است و فتوا معلوم نیست قضای ائمه علیهم السلام باشد. </w:t>
      </w:r>
    </w:p>
    <w:p w14:paraId="1048A1DF" w14:textId="77777777" w:rsidR="00B5552A" w:rsidRPr="006B49FC" w:rsidRDefault="00B5552A" w:rsidP="00B5552A">
      <w:pPr>
        <w:jc w:val="both"/>
        <w:rPr>
          <w:sz w:val="28"/>
          <w:rtl/>
        </w:rPr>
      </w:pPr>
      <w:r w:rsidRPr="006B49FC">
        <w:rPr>
          <w:rFonts w:hint="cs"/>
          <w:sz w:val="28"/>
          <w:rtl/>
        </w:rPr>
        <w:t xml:space="preserve">ادله تقلید نیز دلالت بر جواز قضای عامی ندارد زیرا نهایت چیزی که از ادله مشروعیت تقلید استفاده می شود این است که تقلید کردن نسبت به اعمال خود شخص معذر و منجز است اما اطلاقی نسبت به نفوذ قضاوت او نسبت به دیگران ندارد. </w:t>
      </w:r>
    </w:p>
    <w:p w14:paraId="4D76A348" w14:textId="00B6F3C0" w:rsidR="00B5552A" w:rsidRPr="006B49FC" w:rsidRDefault="00B5552A" w:rsidP="00B5552A">
      <w:pPr>
        <w:jc w:val="both"/>
        <w:rPr>
          <w:sz w:val="28"/>
          <w:rtl/>
        </w:rPr>
      </w:pPr>
      <w:r w:rsidRPr="006B49FC">
        <w:rPr>
          <w:rFonts w:hint="cs"/>
          <w:sz w:val="28"/>
          <w:rtl/>
        </w:rPr>
        <w:t>قبلا گفتیم قضا باید قضا</w:t>
      </w:r>
      <w:r w:rsidR="00423193">
        <w:rPr>
          <w:rFonts w:hint="cs"/>
          <w:sz w:val="28"/>
          <w:rtl/>
        </w:rPr>
        <w:t>ی</w:t>
      </w:r>
      <w:r w:rsidRPr="006B49FC">
        <w:rPr>
          <w:rFonts w:hint="cs"/>
          <w:sz w:val="28"/>
          <w:rtl/>
        </w:rPr>
        <w:t xml:space="preserve"> بما انزل الله باشد و قضای مقلد نیز قضای بما انزل الله است. آنجا اشکال کردیم به اینکه باید برای متخاصمین معلوم شود که این</w:t>
      </w:r>
      <w:r w:rsidR="00BA1C5C" w:rsidRPr="00BA1C5C">
        <w:rPr>
          <w:rFonts w:hint="cs"/>
          <w:sz w:val="28"/>
          <w:rtl/>
        </w:rPr>
        <w:t xml:space="preserve"> </w:t>
      </w:r>
      <w:r w:rsidR="00BA1C5C" w:rsidRPr="006B49FC">
        <w:rPr>
          <w:rFonts w:hint="cs"/>
          <w:sz w:val="28"/>
          <w:rtl/>
        </w:rPr>
        <w:t>قضا</w:t>
      </w:r>
      <w:r w:rsidR="00BA1C5C">
        <w:rPr>
          <w:rFonts w:hint="cs"/>
          <w:sz w:val="28"/>
          <w:rtl/>
        </w:rPr>
        <w:t>،</w:t>
      </w:r>
      <w:r w:rsidRPr="006B49FC">
        <w:rPr>
          <w:rFonts w:hint="cs"/>
          <w:sz w:val="28"/>
          <w:rtl/>
        </w:rPr>
        <w:t xml:space="preserve"> قضای بما انزل الله است. این اشکال که اینجا مطرح کردیم</w:t>
      </w:r>
      <w:r w:rsidR="00BA1C5C">
        <w:rPr>
          <w:rFonts w:hint="cs"/>
          <w:sz w:val="28"/>
          <w:rtl/>
        </w:rPr>
        <w:t xml:space="preserve"> نیز</w:t>
      </w:r>
      <w:r w:rsidRPr="006B49FC">
        <w:rPr>
          <w:rFonts w:hint="cs"/>
          <w:sz w:val="28"/>
          <w:rtl/>
        </w:rPr>
        <w:t xml:space="preserve"> باید ضمیمه شود یعنی گفته شود دلیل تقلید دلالت بر مشروعیت قضای مقلد </w:t>
      </w:r>
      <w:r w:rsidR="00BA1C5C">
        <w:rPr>
          <w:rFonts w:hint="cs"/>
          <w:sz w:val="28"/>
          <w:rtl/>
        </w:rPr>
        <w:t>-</w:t>
      </w:r>
      <w:r w:rsidRPr="006B49FC">
        <w:rPr>
          <w:rFonts w:hint="cs"/>
          <w:sz w:val="28"/>
          <w:rtl/>
        </w:rPr>
        <w:t>با قطع نظر از نفوذ آن در حق دیگران</w:t>
      </w:r>
      <w:r w:rsidR="00BA1C5C">
        <w:rPr>
          <w:rFonts w:hint="cs"/>
          <w:sz w:val="28"/>
          <w:rtl/>
        </w:rPr>
        <w:t>-</w:t>
      </w:r>
      <w:r w:rsidRPr="006B49FC">
        <w:rPr>
          <w:rFonts w:hint="cs"/>
          <w:sz w:val="28"/>
          <w:rtl/>
        </w:rPr>
        <w:t xml:space="preserve"> ندارد. اگر دلیل جواز قضای تقلید دلالت بر جواز قضاوت کردن به عنوان فعلی از افعال مقلد داشته باشد، نهایتش این است که از حیث صدور حکم از جانب قاضی، جواز را می رساند نه از حیث ثبوت حکم بر متخاصمین</w:t>
      </w:r>
      <w:r w:rsidR="00BA1C5C">
        <w:rPr>
          <w:rFonts w:hint="cs"/>
          <w:sz w:val="28"/>
          <w:rtl/>
        </w:rPr>
        <w:t>،</w:t>
      </w:r>
      <w:r w:rsidRPr="006B49FC">
        <w:rPr>
          <w:rFonts w:hint="cs"/>
          <w:sz w:val="28"/>
          <w:rtl/>
        </w:rPr>
        <w:t xml:space="preserve"> چون دلیل جواز تقلید در خصوص قضا وارد نشده است، قدر متیقن از آن عمل مکلف در غیر از ناحیه قضاوت است و اگر اطلاقش قضاوت را شامل شود نهایتا جواز حکم را می رساند نه نفوذ آن در حق دیگران</w:t>
      </w:r>
      <w:r w:rsidR="00BA1C5C">
        <w:rPr>
          <w:rFonts w:hint="cs"/>
          <w:sz w:val="28"/>
          <w:rtl/>
        </w:rPr>
        <w:t xml:space="preserve"> را</w:t>
      </w:r>
      <w:r w:rsidRPr="006B49FC">
        <w:rPr>
          <w:rFonts w:hint="cs"/>
          <w:sz w:val="28"/>
          <w:rtl/>
        </w:rPr>
        <w:t xml:space="preserve">. </w:t>
      </w:r>
    </w:p>
    <w:p w14:paraId="5B62CEA1" w14:textId="10916E6B" w:rsidR="00B5552A" w:rsidRPr="006B49FC" w:rsidRDefault="00B5552A" w:rsidP="00B5552A">
      <w:pPr>
        <w:jc w:val="both"/>
        <w:rPr>
          <w:sz w:val="28"/>
          <w:rtl/>
        </w:rPr>
      </w:pPr>
      <w:r w:rsidRPr="006B49FC">
        <w:rPr>
          <w:rFonts w:hint="cs"/>
          <w:sz w:val="28"/>
          <w:rtl/>
        </w:rPr>
        <w:t xml:space="preserve">اشکال نشود که اگر حکم کردن بر او جایز باشد باید بر دیگران </w:t>
      </w:r>
      <w:r w:rsidR="00BA1C5C">
        <w:rPr>
          <w:rFonts w:hint="cs"/>
          <w:sz w:val="28"/>
          <w:rtl/>
        </w:rPr>
        <w:t xml:space="preserve">نیز </w:t>
      </w:r>
      <w:r w:rsidRPr="006B49FC">
        <w:rPr>
          <w:rFonts w:hint="cs"/>
          <w:sz w:val="28"/>
          <w:rtl/>
        </w:rPr>
        <w:t xml:space="preserve">نافذ باشد وگرنه حکم کردن لغو است، چون </w:t>
      </w:r>
      <w:r w:rsidR="00BA1C5C">
        <w:rPr>
          <w:rFonts w:hint="cs"/>
          <w:sz w:val="28"/>
          <w:rtl/>
        </w:rPr>
        <w:t xml:space="preserve">در پاسخ </w:t>
      </w:r>
      <w:r w:rsidRPr="006B49FC">
        <w:rPr>
          <w:rFonts w:hint="cs"/>
          <w:sz w:val="28"/>
          <w:rtl/>
        </w:rPr>
        <w:t xml:space="preserve">می گوییم این اطلاق است و دلیل تقلید در خصوص قضاوت کردن وارد نشده است تا به دلالت اقتضا مستدعی نفوذ باشد. </w:t>
      </w:r>
    </w:p>
    <w:p w14:paraId="789DEFA5" w14:textId="77777777" w:rsidR="00B5552A" w:rsidRPr="006B49FC" w:rsidRDefault="00B5552A" w:rsidP="00B5552A">
      <w:pPr>
        <w:jc w:val="both"/>
        <w:rPr>
          <w:sz w:val="28"/>
          <w:rtl/>
        </w:rPr>
      </w:pPr>
      <w:r w:rsidRPr="006B49FC">
        <w:rPr>
          <w:rFonts w:hint="cs"/>
          <w:sz w:val="28"/>
          <w:rtl/>
        </w:rPr>
        <w:lastRenderedPageBreak/>
        <w:t xml:space="preserve">پس مستفاد از ادله تقلید این است که مقلد معذور در عمل به فتوای مجتهد است. اگر در حکم نیز معذور باشد، مفاد آن ادله نفوذ حکم او نیست. </w:t>
      </w:r>
    </w:p>
    <w:p w14:paraId="5DFF8221" w14:textId="77777777" w:rsidR="00B5552A" w:rsidRPr="006B49FC" w:rsidRDefault="00B5552A" w:rsidP="00B5552A">
      <w:pPr>
        <w:jc w:val="both"/>
        <w:rPr>
          <w:sz w:val="28"/>
          <w:rtl/>
        </w:rPr>
      </w:pPr>
      <w:r w:rsidRPr="006B49FC">
        <w:rPr>
          <w:rFonts w:hint="cs"/>
          <w:sz w:val="28"/>
          <w:rtl/>
        </w:rPr>
        <w:t xml:space="preserve">قضای مقلد نه به نظر خودش علم به قضای ائمه است و نه علم تعبدی دارد چون ادله مشروعیت تقلید برای او فقط معذوریت در عمل درست کرد نه علم تعبدی. </w:t>
      </w:r>
    </w:p>
    <w:p w14:paraId="2E300920" w14:textId="0B08CE8E" w:rsidR="00B5552A" w:rsidRPr="006B49FC" w:rsidRDefault="00B5552A" w:rsidP="00B5552A">
      <w:pPr>
        <w:pStyle w:val="NormalWeb"/>
        <w:bidi/>
        <w:jc w:val="both"/>
        <w:rPr>
          <w:rFonts w:ascii="Traditional Arabic" w:hAnsi="Traditional Arabic" w:cs="B Badr"/>
          <w:color w:val="000000"/>
          <w:sz w:val="28"/>
          <w:szCs w:val="28"/>
          <w:rtl/>
        </w:rPr>
      </w:pPr>
      <w:r w:rsidRPr="006B49FC">
        <w:rPr>
          <w:rFonts w:cs="B Badr" w:hint="cs"/>
          <w:sz w:val="28"/>
          <w:szCs w:val="28"/>
          <w:rtl/>
        </w:rPr>
        <w:t>اگر گفته شود مفاد اطلاق روایت ابی خدیجه، نفوذ قضای مقلد است، مرحوم آشتیانی</w:t>
      </w:r>
      <w:r>
        <w:rPr>
          <w:rStyle w:val="FootnoteReference"/>
          <w:rFonts w:cs="B Badr"/>
          <w:sz w:val="28"/>
          <w:szCs w:val="28"/>
          <w:rtl/>
        </w:rPr>
        <w:footnoteReference w:id="1"/>
      </w:r>
      <w:r w:rsidRPr="006B49FC">
        <w:rPr>
          <w:rFonts w:cs="B Badr" w:hint="cs"/>
          <w:sz w:val="28"/>
          <w:szCs w:val="28"/>
          <w:rtl/>
        </w:rPr>
        <w:t xml:space="preserve"> </w:t>
      </w:r>
      <w:r w:rsidR="007B7792">
        <w:rPr>
          <w:rFonts w:cs="B Badr" w:hint="cs"/>
          <w:sz w:val="28"/>
          <w:szCs w:val="28"/>
          <w:rtl/>
        </w:rPr>
        <w:t xml:space="preserve">در پاسخ </w:t>
      </w:r>
      <w:r w:rsidRPr="006B49FC">
        <w:rPr>
          <w:rFonts w:cs="B Badr" w:hint="cs"/>
          <w:sz w:val="28"/>
          <w:szCs w:val="28"/>
          <w:rtl/>
        </w:rPr>
        <w:t>فرمود این روایت به وسیله مقبوله عمر بن حنظله تقیید می شود</w:t>
      </w:r>
      <w:r w:rsidR="007B7792">
        <w:rPr>
          <w:rFonts w:cs="B Badr" w:hint="cs"/>
          <w:sz w:val="28"/>
          <w:szCs w:val="28"/>
          <w:rtl/>
        </w:rPr>
        <w:t xml:space="preserve">؛ </w:t>
      </w:r>
      <w:r w:rsidRPr="006B49FC">
        <w:rPr>
          <w:rFonts w:cs="B Badr" w:hint="cs"/>
          <w:sz w:val="28"/>
          <w:szCs w:val="28"/>
          <w:rtl/>
        </w:rPr>
        <w:t>«</w:t>
      </w:r>
      <w:r w:rsidRPr="00B5552A">
        <w:rPr>
          <w:rFonts w:ascii="Traditional Arabic" w:hAnsi="Traditional Arabic" w:cs="B Badr" w:hint="cs"/>
          <w:color w:val="008000"/>
          <w:sz w:val="28"/>
          <w:szCs w:val="28"/>
          <w:rtl/>
        </w:rPr>
        <w:t>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w:t>
      </w:r>
      <w:r w:rsidRPr="006B49FC">
        <w:rPr>
          <w:rFonts w:ascii="Traditional Arabic" w:hAnsi="Traditional Arabic" w:cs="B Badr" w:hint="cs"/>
          <w:color w:val="242887"/>
          <w:sz w:val="28"/>
          <w:szCs w:val="28"/>
          <w:rtl/>
        </w:rPr>
        <w:t>‏</w:t>
      </w:r>
      <w:r w:rsidRPr="006B49FC">
        <w:rPr>
          <w:rFonts w:cs="B Badr" w:hint="cs"/>
          <w:sz w:val="28"/>
          <w:szCs w:val="28"/>
          <w:rtl/>
        </w:rPr>
        <w:t>»</w:t>
      </w:r>
      <w:r w:rsidRPr="006B49FC">
        <w:rPr>
          <w:rStyle w:val="FootnoteReference"/>
          <w:rFonts w:cs="B Badr"/>
          <w:sz w:val="28"/>
          <w:szCs w:val="28"/>
          <w:rtl/>
        </w:rPr>
        <w:footnoteReference w:id="2"/>
      </w:r>
      <w:r w:rsidR="007B7792">
        <w:rPr>
          <w:rFonts w:cs="B Badr" w:hint="cs"/>
          <w:sz w:val="28"/>
          <w:szCs w:val="28"/>
          <w:rtl/>
        </w:rPr>
        <w:t>.</w:t>
      </w:r>
      <w:r w:rsidRPr="006B49FC">
        <w:rPr>
          <w:rFonts w:cs="B Badr" w:hint="cs"/>
          <w:sz w:val="28"/>
          <w:szCs w:val="28"/>
          <w:rtl/>
        </w:rPr>
        <w:t xml:space="preserve"> مفروض این روایت این است که قاضی باید شخصی باشد که «</w:t>
      </w:r>
      <w:r w:rsidRPr="00B5552A">
        <w:rPr>
          <w:rFonts w:ascii="Traditional Arabic" w:hAnsi="Traditional Arabic" w:cs="B Badr" w:hint="cs"/>
          <w:color w:val="008000"/>
          <w:sz w:val="28"/>
          <w:szCs w:val="28"/>
          <w:rtl/>
        </w:rPr>
        <w:t>قَدْ رَوَى حَدِيثَنَا وَ نَظَرَ فِي حَلَالِنَا وَ حَرَامِنَا وَ عَرَفَ أَحْكَامَنَا</w:t>
      </w:r>
      <w:r w:rsidRPr="006B49FC">
        <w:rPr>
          <w:rFonts w:cs="B Badr" w:hint="cs"/>
          <w:sz w:val="28"/>
          <w:szCs w:val="28"/>
          <w:rtl/>
        </w:rPr>
        <w:t>»</w:t>
      </w:r>
      <w:r w:rsidRPr="006B49FC">
        <w:rPr>
          <w:rFonts w:ascii="Traditional Arabic" w:hAnsi="Traditional Arabic" w:cs="B Badr" w:hint="cs"/>
          <w:color w:val="000000"/>
          <w:sz w:val="28"/>
          <w:szCs w:val="28"/>
          <w:rtl/>
        </w:rPr>
        <w:t xml:space="preserve"> </w:t>
      </w:r>
      <w:r w:rsidR="007B7792">
        <w:rPr>
          <w:rFonts w:ascii="Traditional Arabic" w:hAnsi="Traditional Arabic" w:cs="B Badr" w:hint="cs"/>
          <w:color w:val="000000"/>
          <w:sz w:val="28"/>
          <w:szCs w:val="28"/>
          <w:rtl/>
        </w:rPr>
        <w:t xml:space="preserve">و </w:t>
      </w:r>
      <w:r w:rsidR="007B7792" w:rsidRPr="006B49FC">
        <w:rPr>
          <w:rFonts w:ascii="Traditional Arabic" w:hAnsi="Traditional Arabic" w:cs="B Badr" w:hint="cs"/>
          <w:color w:val="000000"/>
          <w:sz w:val="28"/>
          <w:szCs w:val="28"/>
          <w:rtl/>
        </w:rPr>
        <w:t xml:space="preserve">این عنوان </w:t>
      </w:r>
      <w:r w:rsidRPr="006B49FC">
        <w:rPr>
          <w:rFonts w:ascii="Traditional Arabic" w:hAnsi="Traditional Arabic" w:cs="B Badr" w:hint="cs"/>
          <w:color w:val="000000"/>
          <w:sz w:val="28"/>
          <w:szCs w:val="28"/>
          <w:rtl/>
        </w:rPr>
        <w:t>بر عامی منطبق نیست.</w:t>
      </w:r>
    </w:p>
    <w:p w14:paraId="03DAE200" w14:textId="3F42444A" w:rsidR="00B5552A" w:rsidRPr="006B49FC" w:rsidRDefault="00B5552A" w:rsidP="00B5552A">
      <w:pPr>
        <w:pStyle w:val="NormalWeb"/>
        <w:bidi/>
        <w:jc w:val="both"/>
        <w:rPr>
          <w:rFonts w:ascii="Traditional Arabic" w:hAnsi="Traditional Arabic" w:cs="B Badr"/>
          <w:color w:val="000000"/>
          <w:sz w:val="28"/>
          <w:szCs w:val="28"/>
          <w:rtl/>
        </w:rPr>
      </w:pPr>
      <w:r w:rsidRPr="006B49FC">
        <w:rPr>
          <w:rFonts w:ascii="Traditional Arabic" w:hAnsi="Traditional Arabic" w:cs="B Badr" w:hint="cs"/>
          <w:color w:val="000000"/>
          <w:sz w:val="28"/>
          <w:szCs w:val="28"/>
          <w:rtl/>
        </w:rPr>
        <w:t>اگر روایت ابی خدیجه بخواهد توسط این روایت تخصیص بخورد منوط به این است که این روایت دال بر حصر باشد در حالی که این روایت دلالتی بر این جهت ندارد و روایت فرموده به قضات جور رجوع نکنید و به قضات شیعه رجوع کنید. اما اینکه به عامی نمی توان رجوع کرد در این روایت وارد نشده است. مرحوم آشتیانی می فرماید این روایت در مقام حصر است و می فرماید هر چند قید</w:t>
      </w:r>
      <w:r w:rsidR="00844A45">
        <w:rPr>
          <w:rFonts w:ascii="Traditional Arabic" w:hAnsi="Traditional Arabic" w:cs="B Badr" w:hint="cs"/>
          <w:color w:val="000000"/>
          <w:sz w:val="28"/>
          <w:szCs w:val="28"/>
          <w:rtl/>
        </w:rPr>
        <w:t>،</w:t>
      </w:r>
      <w:r w:rsidRPr="006B49FC">
        <w:rPr>
          <w:rFonts w:ascii="Traditional Arabic" w:hAnsi="Traditional Arabic" w:cs="B Badr" w:hint="cs"/>
          <w:color w:val="000000"/>
          <w:sz w:val="28"/>
          <w:szCs w:val="28"/>
          <w:rtl/>
        </w:rPr>
        <w:t xml:space="preserve"> مفهوم ندارد اما قید در این روایت مفهوم دارد؛ چون در مقام تحدید است.</w:t>
      </w:r>
    </w:p>
    <w:p w14:paraId="7F1CD783" w14:textId="77777777" w:rsidR="00B5552A" w:rsidRPr="006B49FC" w:rsidRDefault="00B5552A" w:rsidP="00B5552A">
      <w:pPr>
        <w:pStyle w:val="NormalWeb"/>
        <w:bidi/>
        <w:jc w:val="both"/>
        <w:rPr>
          <w:rFonts w:ascii="Traditional Arabic" w:hAnsi="Traditional Arabic" w:cs="B Badr"/>
          <w:color w:val="000000"/>
          <w:sz w:val="28"/>
          <w:szCs w:val="28"/>
          <w:rtl/>
        </w:rPr>
      </w:pPr>
      <w:r w:rsidRPr="006B49FC">
        <w:rPr>
          <w:rFonts w:ascii="Traditional Arabic" w:hAnsi="Traditional Arabic" w:cs="B Badr" w:hint="cs"/>
          <w:color w:val="000000"/>
          <w:sz w:val="28"/>
          <w:szCs w:val="28"/>
          <w:rtl/>
        </w:rPr>
        <w:t xml:space="preserve"> به نظر این روایت دلالت بر حصر ندارد. اگر این روایت دلالت بر حصر داشته باشد، حصر آن اضافی است یعنی مدلول این روایت این است که به حکام جور رجوع نکنند و به اینها رجوع کنند نه اینکه به حکام جور رجوع نکنند و فقط به این اشخاص رجوع کنند. حصر این روایت در مقابل رجوع به اهل جور است. البته روایت ابن حنظله به تنهایی  دلالت بر مشروعیت قضای مقلد ندارد. اینکه در این روایت آمده است «</w:t>
      </w:r>
      <w:r w:rsidRPr="00B5552A">
        <w:rPr>
          <w:rFonts w:ascii="Traditional Arabic" w:hAnsi="Traditional Arabic" w:cs="B Badr" w:hint="cs"/>
          <w:color w:val="008000"/>
          <w:sz w:val="28"/>
          <w:szCs w:val="28"/>
          <w:rtl/>
        </w:rPr>
        <w:t>وَ عَرَفَ أَحْكَامَنَا</w:t>
      </w:r>
      <w:r w:rsidRPr="006B49FC">
        <w:rPr>
          <w:rFonts w:ascii="Traditional Arabic" w:hAnsi="Traditional Arabic" w:cs="B Badr" w:hint="cs"/>
          <w:color w:val="000000"/>
          <w:sz w:val="28"/>
          <w:szCs w:val="28"/>
          <w:rtl/>
        </w:rPr>
        <w:t>» مانند تعبیر «</w:t>
      </w:r>
      <w:r w:rsidRPr="006B49FC">
        <w:rPr>
          <w:rFonts w:ascii="Traditional Arabic" w:hAnsi="Traditional Arabic" w:cs="B Badr" w:hint="cs"/>
          <w:color w:val="008000"/>
          <w:sz w:val="28"/>
          <w:szCs w:val="28"/>
          <w:rtl/>
        </w:rPr>
        <w:t>يَعْلَمُ‏ شَيْئاً مِنْ‏ قَضَايَانَا</w:t>
      </w:r>
      <w:r w:rsidRPr="006B49FC">
        <w:rPr>
          <w:rFonts w:ascii="Traditional Arabic" w:hAnsi="Traditional Arabic" w:cs="B Badr" w:hint="cs"/>
          <w:color w:val="000000"/>
          <w:sz w:val="28"/>
          <w:szCs w:val="28"/>
          <w:rtl/>
        </w:rPr>
        <w:t>» در روایت ابی خدیجه است و تعبیر «</w:t>
      </w:r>
      <w:r w:rsidRPr="00B5552A">
        <w:rPr>
          <w:rFonts w:ascii="Traditional Arabic" w:hAnsi="Traditional Arabic" w:cs="B Badr" w:hint="cs"/>
          <w:color w:val="008000"/>
          <w:sz w:val="28"/>
          <w:szCs w:val="28"/>
          <w:rtl/>
        </w:rPr>
        <w:t>نَظَرَ فِي حَلَالِنَا وَ حَرَامِنَا</w:t>
      </w:r>
      <w:r w:rsidRPr="006B49FC">
        <w:rPr>
          <w:rFonts w:ascii="Traditional Arabic" w:hAnsi="Traditional Arabic" w:cs="B Badr" w:hint="cs"/>
          <w:color w:val="000000"/>
          <w:sz w:val="28"/>
          <w:szCs w:val="28"/>
          <w:rtl/>
        </w:rPr>
        <w:t xml:space="preserve">» بر عامی صدق نمی کند چون عامی در فتوا نظر می کند بلکه کار او نظر کردن نیست بلکه کار او رجوع به فقیه است و حکم فقیه برای او معذر و منجز است. </w:t>
      </w:r>
    </w:p>
    <w:p w14:paraId="018376C4" w14:textId="77777777" w:rsidR="008F0376" w:rsidRDefault="008F0376" w:rsidP="0083507B">
      <w:pPr>
        <w:pStyle w:val="Heading2"/>
        <w:rPr>
          <w:rtl/>
        </w:rPr>
      </w:pPr>
      <w:bookmarkStart w:id="6" w:name="_Toc46144176"/>
      <w:r>
        <w:rPr>
          <w:rFonts w:hint="cs"/>
          <w:rtl/>
        </w:rPr>
        <w:lastRenderedPageBreak/>
        <w:t>مفاد روایت حلبی</w:t>
      </w:r>
      <w:bookmarkEnd w:id="6"/>
    </w:p>
    <w:p w14:paraId="1084C1AA" w14:textId="4B2FBD71" w:rsidR="00B5552A" w:rsidRPr="006B49FC" w:rsidRDefault="00B5552A" w:rsidP="008F0376">
      <w:pPr>
        <w:pStyle w:val="NormalWeb"/>
        <w:bidi/>
        <w:jc w:val="both"/>
        <w:rPr>
          <w:rFonts w:cs="B Badr"/>
          <w:sz w:val="28"/>
          <w:szCs w:val="28"/>
          <w:rtl/>
        </w:rPr>
      </w:pPr>
      <w:r w:rsidRPr="006B49FC">
        <w:rPr>
          <w:rFonts w:ascii="Traditional Arabic" w:hAnsi="Traditional Arabic" w:cs="B Badr" w:hint="cs"/>
          <w:color w:val="000000"/>
          <w:sz w:val="28"/>
          <w:szCs w:val="28"/>
          <w:rtl/>
        </w:rPr>
        <w:t>روایت دیگر صحیحه حلبی است که در آن آمده است</w:t>
      </w:r>
      <w:r w:rsidR="008F0376">
        <w:rPr>
          <w:rFonts w:ascii="Traditional Arabic" w:hAnsi="Traditional Arabic" w:cs="B Badr" w:hint="cs"/>
          <w:color w:val="000000"/>
          <w:sz w:val="28"/>
          <w:szCs w:val="28"/>
          <w:rtl/>
        </w:rPr>
        <w:t>:</w:t>
      </w:r>
      <w:r w:rsidRPr="006B49FC">
        <w:rPr>
          <w:rFonts w:ascii="Traditional Arabic" w:hAnsi="Traditional Arabic" w:cs="B Badr" w:hint="cs"/>
          <w:color w:val="000000"/>
          <w:sz w:val="28"/>
          <w:szCs w:val="28"/>
          <w:rtl/>
        </w:rPr>
        <w:t xml:space="preserve"> </w:t>
      </w:r>
      <w:r w:rsidRPr="006B49FC">
        <w:rPr>
          <w:rFonts w:cs="B Badr" w:hint="cs"/>
          <w:sz w:val="28"/>
          <w:szCs w:val="28"/>
          <w:rtl/>
        </w:rPr>
        <w:t>«</w:t>
      </w:r>
      <w:r w:rsidRPr="006B49FC">
        <w:rPr>
          <w:rFonts w:ascii="Traditional Arabic" w:hAnsi="Traditional Arabic" w:cs="B Badr" w:hint="cs"/>
          <w:sz w:val="28"/>
          <w:szCs w:val="28"/>
          <w:rtl/>
        </w:rPr>
        <w:t>الْحُسَيْنُ بْنُ سَعِيدٍ عَنِ ابْنِ أَبِي عُمَيْرٍ عَنْ حَمَّادٍ عَنِ الْحَلَبِيِّ قَالَ:</w:t>
      </w:r>
      <w:r w:rsidRPr="006B49FC">
        <w:rPr>
          <w:rFonts w:ascii="Traditional Arabic" w:hAnsi="Traditional Arabic" w:cs="B Badr" w:hint="cs"/>
          <w:color w:val="008000"/>
          <w:sz w:val="28"/>
          <w:szCs w:val="28"/>
          <w:rtl/>
        </w:rPr>
        <w:t xml:space="preserve"> قُلْتُ لِأَبِي عَبْدِ اللَّهِ ع رُبَّمَا كَانَ بَيْنَ الرَّجُلَيْنِ مِنْ أَصْحَابِنَا الْمُنَازَعَةُ فِي الشَّيْ‏ءِ فَيَتَرَاضَيَانِ‏ بِرَجُلٍ‏ مِنَّا فَقَالَ لَيْسَ هُوَ ذَلِكَ إِنَّمَا هُوَ الَّذِي يُجْبِرُ النَّاسَ عَلَى حُكْمِهِ بِالسَّيْفِ وَ السَّوْط</w:t>
      </w:r>
      <w:r w:rsidRPr="006B49FC">
        <w:rPr>
          <w:rFonts w:cs="B Badr" w:hint="cs"/>
          <w:sz w:val="28"/>
          <w:szCs w:val="28"/>
          <w:rtl/>
        </w:rPr>
        <w:t>»</w:t>
      </w:r>
      <w:r w:rsidRPr="006B49FC">
        <w:rPr>
          <w:rStyle w:val="FootnoteReference"/>
          <w:rFonts w:cs="B Badr"/>
          <w:sz w:val="28"/>
          <w:szCs w:val="28"/>
          <w:rtl/>
        </w:rPr>
        <w:footnoteReference w:id="3"/>
      </w:r>
      <w:r w:rsidR="008F0376">
        <w:rPr>
          <w:rFonts w:cs="B Badr" w:hint="cs"/>
          <w:sz w:val="28"/>
          <w:szCs w:val="28"/>
          <w:rtl/>
        </w:rPr>
        <w:t>.</w:t>
      </w:r>
    </w:p>
    <w:p w14:paraId="50066103" w14:textId="71A9E190" w:rsidR="00B5552A" w:rsidRPr="006B49FC" w:rsidRDefault="00B5552A" w:rsidP="00B5552A">
      <w:pPr>
        <w:pStyle w:val="NormalWeb"/>
        <w:bidi/>
        <w:jc w:val="both"/>
        <w:rPr>
          <w:rFonts w:ascii="Traditional Arabic" w:hAnsi="Traditional Arabic" w:cs="B Badr"/>
          <w:color w:val="000000"/>
          <w:sz w:val="28"/>
          <w:szCs w:val="28"/>
          <w:rtl/>
        </w:rPr>
      </w:pPr>
      <w:r w:rsidRPr="006B49FC">
        <w:rPr>
          <w:rFonts w:ascii="Traditional Arabic" w:hAnsi="Traditional Arabic" w:cs="B Badr" w:hint="cs"/>
          <w:color w:val="000000"/>
          <w:sz w:val="28"/>
          <w:szCs w:val="28"/>
          <w:rtl/>
        </w:rPr>
        <w:t>در این روایت آمده است</w:t>
      </w:r>
      <w:r w:rsidR="0090452F">
        <w:rPr>
          <w:rFonts w:ascii="Traditional Arabic" w:hAnsi="Traditional Arabic" w:cs="B Badr" w:hint="cs"/>
          <w:color w:val="000000"/>
          <w:sz w:val="28"/>
          <w:szCs w:val="28"/>
          <w:rtl/>
        </w:rPr>
        <w:t>:</w:t>
      </w:r>
      <w:r w:rsidRPr="006B49FC">
        <w:rPr>
          <w:rFonts w:ascii="Traditional Arabic" w:hAnsi="Traditional Arabic" w:cs="B Badr" w:hint="cs"/>
          <w:color w:val="000000"/>
          <w:sz w:val="28"/>
          <w:szCs w:val="28"/>
          <w:rtl/>
        </w:rPr>
        <w:t xml:space="preserve"> «</w:t>
      </w:r>
      <w:r w:rsidRPr="006B49FC">
        <w:rPr>
          <w:rFonts w:ascii="Traditional Arabic" w:hAnsi="Traditional Arabic" w:cs="B Badr" w:hint="cs"/>
          <w:color w:val="008000"/>
          <w:sz w:val="28"/>
          <w:szCs w:val="28"/>
          <w:rtl/>
        </w:rPr>
        <w:t>فَيَتَرَاضَيَانِ‏ بِرَجُلٍ‏ مِنَّا</w:t>
      </w:r>
      <w:r w:rsidRPr="006B49FC">
        <w:rPr>
          <w:rFonts w:ascii="Traditional Arabic" w:hAnsi="Traditional Arabic" w:cs="B Badr" w:hint="cs"/>
          <w:color w:val="000000"/>
          <w:sz w:val="28"/>
          <w:szCs w:val="28"/>
          <w:rtl/>
        </w:rPr>
        <w:t>»</w:t>
      </w:r>
      <w:r w:rsidR="0090452F">
        <w:rPr>
          <w:rFonts w:ascii="Traditional Arabic" w:hAnsi="Traditional Arabic" w:cs="B Badr" w:hint="cs"/>
          <w:color w:val="000000"/>
          <w:sz w:val="28"/>
          <w:szCs w:val="28"/>
          <w:rtl/>
        </w:rPr>
        <w:t>،</w:t>
      </w:r>
      <w:r w:rsidRPr="006B49FC">
        <w:rPr>
          <w:rFonts w:ascii="Traditional Arabic" w:hAnsi="Traditional Arabic" w:cs="B Badr" w:hint="cs"/>
          <w:color w:val="000000"/>
          <w:sz w:val="28"/>
          <w:szCs w:val="28"/>
          <w:rtl/>
        </w:rPr>
        <w:t xml:space="preserve"> آیا این روایت دلالت دارد بر اینکه قضای هر شیعه ای نافذ است یا نه؟ </w:t>
      </w:r>
    </w:p>
    <w:p w14:paraId="1FC48A28" w14:textId="4C81E2E3" w:rsidR="00B5552A" w:rsidRPr="006B49FC" w:rsidRDefault="00B5552A" w:rsidP="00B5552A">
      <w:pPr>
        <w:pStyle w:val="NormalWeb"/>
        <w:bidi/>
        <w:jc w:val="both"/>
        <w:rPr>
          <w:rFonts w:ascii="Traditional Arabic" w:hAnsi="Traditional Arabic" w:cs="B Badr"/>
          <w:color w:val="000000"/>
          <w:sz w:val="28"/>
          <w:szCs w:val="28"/>
          <w:rtl/>
        </w:rPr>
      </w:pPr>
      <w:r w:rsidRPr="006B49FC">
        <w:rPr>
          <w:rFonts w:ascii="Traditional Arabic" w:hAnsi="Traditional Arabic" w:cs="B Badr" w:hint="cs"/>
          <w:color w:val="000000"/>
          <w:sz w:val="28"/>
          <w:szCs w:val="28"/>
          <w:rtl/>
        </w:rPr>
        <w:t>به نظر این روایت نیز اطلاقی نسبت به حجیت قضای مقلد ندارد چون از جواب حضرت که فرمودند</w:t>
      </w:r>
      <w:r w:rsidR="0090452F">
        <w:rPr>
          <w:rFonts w:ascii="Traditional Arabic" w:hAnsi="Traditional Arabic" w:cs="B Badr" w:hint="cs"/>
          <w:color w:val="000000"/>
          <w:sz w:val="28"/>
          <w:szCs w:val="28"/>
          <w:rtl/>
        </w:rPr>
        <w:t>:</w:t>
      </w:r>
      <w:r w:rsidRPr="006B49FC">
        <w:rPr>
          <w:rFonts w:ascii="Traditional Arabic" w:hAnsi="Traditional Arabic" w:cs="B Badr" w:hint="cs"/>
          <w:color w:val="000000"/>
          <w:sz w:val="28"/>
          <w:szCs w:val="28"/>
          <w:rtl/>
        </w:rPr>
        <w:t xml:space="preserve"> «</w:t>
      </w:r>
      <w:r w:rsidRPr="006B49FC">
        <w:rPr>
          <w:rFonts w:ascii="Traditional Arabic" w:hAnsi="Traditional Arabic" w:cs="B Badr" w:hint="cs"/>
          <w:color w:val="008000"/>
          <w:sz w:val="28"/>
          <w:szCs w:val="28"/>
          <w:rtl/>
        </w:rPr>
        <w:t>لَيْسَ هُوَ ذَلِكَ</w:t>
      </w:r>
      <w:r w:rsidRPr="006B49FC">
        <w:rPr>
          <w:rFonts w:ascii="Traditional Arabic" w:hAnsi="Traditional Arabic" w:cs="B Badr" w:hint="cs"/>
          <w:color w:val="000000"/>
          <w:sz w:val="28"/>
          <w:szCs w:val="28"/>
          <w:rtl/>
        </w:rPr>
        <w:t>»</w:t>
      </w:r>
      <w:r w:rsidR="0090452F">
        <w:rPr>
          <w:rFonts w:ascii="Traditional Arabic" w:hAnsi="Traditional Arabic" w:cs="B Badr" w:hint="cs"/>
          <w:color w:val="000000"/>
          <w:sz w:val="28"/>
          <w:szCs w:val="28"/>
          <w:rtl/>
        </w:rPr>
        <w:t>، روشن می شود که</w:t>
      </w:r>
      <w:r w:rsidR="001621FD">
        <w:rPr>
          <w:rFonts w:ascii="Traditional Arabic" w:hAnsi="Traditional Arabic" w:cs="B Badr" w:hint="cs"/>
          <w:color w:val="000000"/>
          <w:sz w:val="28"/>
          <w:szCs w:val="28"/>
          <w:rtl/>
        </w:rPr>
        <w:t xml:space="preserve"> نزد راوی</w:t>
      </w:r>
      <w:r w:rsidRPr="006B49FC">
        <w:rPr>
          <w:rFonts w:ascii="Traditional Arabic" w:hAnsi="Traditional Arabic" w:cs="B Badr" w:hint="cs"/>
          <w:color w:val="000000"/>
          <w:sz w:val="28"/>
          <w:szCs w:val="28"/>
          <w:rtl/>
        </w:rPr>
        <w:t xml:space="preserve"> امری معهود است</w:t>
      </w:r>
      <w:r w:rsidR="0090452F">
        <w:rPr>
          <w:rFonts w:ascii="Traditional Arabic" w:hAnsi="Traditional Arabic" w:cs="B Badr" w:hint="cs"/>
          <w:color w:val="000000"/>
          <w:sz w:val="28"/>
          <w:szCs w:val="28"/>
          <w:rtl/>
        </w:rPr>
        <w:t>، اما</w:t>
      </w:r>
      <w:r w:rsidR="00246D41">
        <w:rPr>
          <w:rFonts w:ascii="Traditional Arabic" w:hAnsi="Traditional Arabic" w:cs="B Badr" w:hint="cs"/>
          <w:color w:val="000000"/>
          <w:sz w:val="28"/>
          <w:szCs w:val="28"/>
          <w:rtl/>
        </w:rPr>
        <w:t xml:space="preserve"> اینکه</w:t>
      </w:r>
      <w:r w:rsidRPr="006B49FC">
        <w:rPr>
          <w:rFonts w:ascii="Traditional Arabic" w:hAnsi="Traditional Arabic" w:cs="B Badr" w:hint="cs"/>
          <w:color w:val="000000"/>
          <w:sz w:val="28"/>
          <w:szCs w:val="28"/>
          <w:rtl/>
        </w:rPr>
        <w:t xml:space="preserve"> آن معهود چیست</w:t>
      </w:r>
      <w:r w:rsidR="00246D41">
        <w:rPr>
          <w:rFonts w:ascii="Traditional Arabic" w:hAnsi="Traditional Arabic" w:cs="B Badr" w:hint="cs"/>
          <w:color w:val="000000"/>
          <w:sz w:val="28"/>
          <w:szCs w:val="28"/>
          <w:rtl/>
        </w:rPr>
        <w:t xml:space="preserve"> از این روایت فهمیده نمی شود. شاید</w:t>
      </w:r>
      <w:r w:rsidRPr="006B49FC">
        <w:rPr>
          <w:rFonts w:ascii="Traditional Arabic" w:hAnsi="Traditional Arabic" w:cs="B Badr" w:hint="cs"/>
          <w:color w:val="000000"/>
          <w:sz w:val="28"/>
          <w:szCs w:val="28"/>
          <w:rtl/>
        </w:rPr>
        <w:t xml:space="preserve"> معهود این است که قضای حاکم جور حتی اگر مجتهد باشد نافذ نیست. بعد راوی می گوید به جای حاکم جور، شخصی از شیعه قضاوت می کند. در اینصورت شرایط دیگر قاضی مفروض است و این حاکم جور آن شرایط را دارا بوده به جز شیعه بودن. </w:t>
      </w:r>
      <w:r w:rsidR="00C41E0E">
        <w:rPr>
          <w:rFonts w:ascii="Traditional Arabic" w:hAnsi="Traditional Arabic" w:cs="B Badr" w:hint="cs"/>
          <w:color w:val="000000"/>
          <w:sz w:val="28"/>
          <w:szCs w:val="28"/>
          <w:rtl/>
        </w:rPr>
        <w:t>احتمال دیگر این است که این روایت مربوط به خصوص فرض تراضی طرفین باشد.</w:t>
      </w:r>
    </w:p>
    <w:p w14:paraId="51F4E0BE" w14:textId="45E8A8F7" w:rsidR="00B5552A" w:rsidRPr="006B49FC" w:rsidRDefault="00B5552A" w:rsidP="00B5552A">
      <w:pPr>
        <w:pStyle w:val="NormalWeb"/>
        <w:bidi/>
        <w:jc w:val="both"/>
        <w:rPr>
          <w:rFonts w:ascii="Traditional Arabic" w:hAnsi="Traditional Arabic" w:cs="B Badr"/>
          <w:color w:val="000000"/>
          <w:sz w:val="28"/>
          <w:szCs w:val="28"/>
        </w:rPr>
      </w:pPr>
      <w:r w:rsidRPr="006B49FC">
        <w:rPr>
          <w:rFonts w:ascii="Traditional Arabic" w:hAnsi="Traditional Arabic" w:cs="B Badr" w:hint="cs"/>
          <w:color w:val="000000"/>
          <w:sz w:val="28"/>
          <w:szCs w:val="28"/>
          <w:rtl/>
        </w:rPr>
        <w:t xml:space="preserve">ممکن است گفته شود زمان ائمه علیهم السلام کسانی بودند که مجتهد نبودند ولی از ناحیه معصوم علیه السلام منصوب می شدند. </w:t>
      </w:r>
      <w:r>
        <w:rPr>
          <w:rFonts w:ascii="Traditional Arabic" w:hAnsi="Traditional Arabic" w:cs="B Badr" w:hint="cs"/>
          <w:color w:val="000000"/>
          <w:sz w:val="28"/>
          <w:szCs w:val="28"/>
          <w:rtl/>
        </w:rPr>
        <w:t>این بحث خواهدآمد ان</w:t>
      </w:r>
      <w:r w:rsidR="0090452F">
        <w:rPr>
          <w:rFonts w:ascii="Traditional Arabic" w:hAnsi="Traditional Arabic" w:cs="B Badr" w:hint="cs"/>
          <w:color w:val="000000"/>
          <w:sz w:val="28"/>
          <w:szCs w:val="28"/>
          <w:rtl/>
        </w:rPr>
        <w:t xml:space="preserve"> </w:t>
      </w:r>
      <w:r>
        <w:rPr>
          <w:rFonts w:ascii="Traditional Arabic" w:hAnsi="Traditional Arabic" w:cs="B Badr" w:hint="cs"/>
          <w:color w:val="000000"/>
          <w:sz w:val="28"/>
          <w:szCs w:val="28"/>
          <w:rtl/>
        </w:rPr>
        <w:t>شاء</w:t>
      </w:r>
      <w:r w:rsidR="0090452F">
        <w:rPr>
          <w:rFonts w:ascii="Traditional Arabic" w:hAnsi="Traditional Arabic" w:cs="B Badr" w:hint="cs"/>
          <w:color w:val="000000"/>
          <w:sz w:val="28"/>
          <w:szCs w:val="28"/>
          <w:rtl/>
        </w:rPr>
        <w:t xml:space="preserve"> </w:t>
      </w:r>
      <w:r>
        <w:rPr>
          <w:rFonts w:ascii="Traditional Arabic" w:hAnsi="Traditional Arabic" w:cs="B Badr" w:hint="cs"/>
          <w:color w:val="000000"/>
          <w:sz w:val="28"/>
          <w:szCs w:val="28"/>
          <w:rtl/>
        </w:rPr>
        <w:t>الله.</w:t>
      </w:r>
    </w:p>
    <w:p w14:paraId="6F604A6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8BE8B" w14:textId="77777777" w:rsidR="00E72446" w:rsidRDefault="00E72446" w:rsidP="008B750B">
      <w:pPr>
        <w:spacing w:line="240" w:lineRule="auto"/>
      </w:pPr>
      <w:r>
        <w:separator/>
      </w:r>
    </w:p>
  </w:endnote>
  <w:endnote w:type="continuationSeparator" w:id="0">
    <w:p w14:paraId="42CCE927" w14:textId="77777777" w:rsidR="00E72446" w:rsidRDefault="00E7244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3E03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4CB9EA3D" w14:textId="77777777" w:rsidTr="0020241A">
      <w:tc>
        <w:tcPr>
          <w:tcW w:w="3382" w:type="dxa"/>
          <w:tcBorders>
            <w:top w:val="nil"/>
            <w:left w:val="nil"/>
            <w:bottom w:val="nil"/>
            <w:right w:val="nil"/>
          </w:tcBorders>
        </w:tcPr>
        <w:p w14:paraId="72C570E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B895D2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7FC892EF" w14:textId="77777777" w:rsidR="006D44C1" w:rsidRPr="006D44C1" w:rsidRDefault="007F7FEB" w:rsidP="001B6799">
          <w:pPr>
            <w:pStyle w:val="Footer"/>
            <w:bidi w:val="0"/>
            <w:rPr>
              <w:color w:val="808080" w:themeColor="background1" w:themeShade="80"/>
              <w:rtl/>
            </w:rPr>
          </w:pPr>
          <w:bookmarkStart w:id="14" w:name="BokAdres"/>
          <w:bookmarkEnd w:id="14"/>
          <w:r>
            <w:rPr>
              <w:color w:val="808080" w:themeColor="background1" w:themeShade="80"/>
            </w:rPr>
            <w:t>F1mq1_13990401-117_mk4_mfeb.ir</w:t>
          </w:r>
        </w:p>
      </w:tc>
    </w:tr>
  </w:tbl>
  <w:p w14:paraId="135BF31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F9B3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58888" w14:textId="77777777" w:rsidR="00E72446" w:rsidRDefault="00E72446" w:rsidP="008B750B">
      <w:pPr>
        <w:spacing w:line="240" w:lineRule="auto"/>
      </w:pPr>
      <w:r>
        <w:separator/>
      </w:r>
    </w:p>
  </w:footnote>
  <w:footnote w:type="continuationSeparator" w:id="0">
    <w:p w14:paraId="38BCA723" w14:textId="77777777" w:rsidR="00E72446" w:rsidRDefault="00E72446" w:rsidP="008B750B">
      <w:pPr>
        <w:spacing w:line="240" w:lineRule="auto"/>
      </w:pPr>
      <w:r>
        <w:continuationSeparator/>
      </w:r>
    </w:p>
  </w:footnote>
  <w:footnote w:id="1">
    <w:p w14:paraId="57F95626" w14:textId="6282D07B" w:rsidR="00B5552A" w:rsidRPr="00B5552A" w:rsidRDefault="00B5552A" w:rsidP="00B5552A">
      <w:pPr>
        <w:pStyle w:val="FootnoteText"/>
      </w:pPr>
      <w:r w:rsidRPr="00B5552A">
        <w:footnoteRef/>
      </w:r>
      <w:r w:rsidRPr="00B5552A">
        <w:rPr>
          <w:rtl/>
        </w:rPr>
        <w:t xml:space="preserve"> </w:t>
      </w:r>
      <w:hyperlink r:id="rId1" w:history="1">
        <w:r w:rsidRPr="00B5552A">
          <w:rPr>
            <w:rStyle w:val="Hyperlink"/>
            <w:rtl/>
          </w:rPr>
          <w:t>قضاء الاشتياني، الآشتياني، الميرزا محمد حسن، ج1، ص9.</w:t>
        </w:r>
      </w:hyperlink>
    </w:p>
  </w:footnote>
  <w:footnote w:id="2">
    <w:p w14:paraId="3A5ECC6A" w14:textId="28BEDC8D" w:rsidR="00B5552A" w:rsidRPr="000F329A" w:rsidRDefault="00B5552A" w:rsidP="00B5552A">
      <w:pPr>
        <w:pStyle w:val="FootnoteText"/>
      </w:pPr>
      <w:r w:rsidRPr="000F329A">
        <w:footnoteRef/>
      </w:r>
      <w:r w:rsidRPr="000F329A">
        <w:rPr>
          <w:rtl/>
        </w:rPr>
        <w:t xml:space="preserve"> </w:t>
      </w:r>
      <w:hyperlink r:id="rId2" w:history="1">
        <w:r w:rsidRPr="000F329A">
          <w:rPr>
            <w:rStyle w:val="Hyperlink"/>
            <w:rFonts w:hint="eastAsia"/>
            <w:rtl/>
          </w:rPr>
          <w:t>الکاف</w:t>
        </w:r>
        <w:r w:rsidRPr="000F329A">
          <w:rPr>
            <w:rStyle w:val="Hyperlink"/>
            <w:rFonts w:hint="cs"/>
            <w:rtl/>
          </w:rPr>
          <w:t>ی</w:t>
        </w:r>
        <w:r w:rsidRPr="000F329A">
          <w:rPr>
            <w:rStyle w:val="Hyperlink"/>
            <w:rFonts w:hint="eastAsia"/>
            <w:rtl/>
          </w:rPr>
          <w:t>،</w:t>
        </w:r>
        <w:r w:rsidRPr="000F329A">
          <w:rPr>
            <w:rStyle w:val="Hyperlink"/>
            <w:rtl/>
          </w:rPr>
          <w:t xml:space="preserve"> محمد بن </w:t>
        </w:r>
        <w:r w:rsidRPr="000F329A">
          <w:rPr>
            <w:rStyle w:val="Hyperlink"/>
            <w:rFonts w:hint="cs"/>
            <w:rtl/>
          </w:rPr>
          <w:t>ی</w:t>
        </w:r>
        <w:r w:rsidRPr="000F329A">
          <w:rPr>
            <w:rStyle w:val="Hyperlink"/>
            <w:rFonts w:hint="eastAsia"/>
            <w:rtl/>
          </w:rPr>
          <w:t>عقوب</w:t>
        </w:r>
        <w:r w:rsidRPr="000F329A">
          <w:rPr>
            <w:rStyle w:val="Hyperlink"/>
            <w:rtl/>
          </w:rPr>
          <w:t xml:space="preserve"> کل</w:t>
        </w:r>
        <w:r w:rsidRPr="000F329A">
          <w:rPr>
            <w:rStyle w:val="Hyperlink"/>
            <w:rFonts w:hint="cs"/>
            <w:rtl/>
          </w:rPr>
          <w:t>ی</w:t>
        </w:r>
        <w:r w:rsidRPr="000F329A">
          <w:rPr>
            <w:rStyle w:val="Hyperlink"/>
            <w:rFonts w:hint="eastAsia"/>
            <w:rtl/>
          </w:rPr>
          <w:t>ن</w:t>
        </w:r>
        <w:r w:rsidRPr="000F329A">
          <w:rPr>
            <w:rStyle w:val="Hyperlink"/>
            <w:rFonts w:hint="cs"/>
            <w:rtl/>
          </w:rPr>
          <w:t>ی</w:t>
        </w:r>
        <w:r w:rsidRPr="000F329A">
          <w:rPr>
            <w:rStyle w:val="Hyperlink"/>
            <w:rFonts w:hint="eastAsia"/>
            <w:rtl/>
          </w:rPr>
          <w:t>،</w:t>
        </w:r>
        <w:r w:rsidRPr="000F329A">
          <w:rPr>
            <w:rStyle w:val="Hyperlink"/>
            <w:rtl/>
          </w:rPr>
          <w:t xml:space="preserve"> ج1، ص67.</w:t>
        </w:r>
      </w:hyperlink>
    </w:p>
  </w:footnote>
  <w:footnote w:id="3">
    <w:p w14:paraId="61D4CDDB" w14:textId="3A84FA34" w:rsidR="00B5552A" w:rsidRPr="00364F8B" w:rsidRDefault="00B5552A" w:rsidP="00B5552A">
      <w:pPr>
        <w:pStyle w:val="FootnoteText"/>
        <w:rPr>
          <w:rtl/>
        </w:rPr>
      </w:pPr>
      <w:r w:rsidRPr="00364F8B">
        <w:footnoteRef/>
      </w:r>
      <w:r w:rsidRPr="00364F8B">
        <w:rPr>
          <w:rtl/>
        </w:rPr>
        <w:t xml:space="preserve"> </w:t>
      </w:r>
      <w:hyperlink r:id="rId3" w:history="1">
        <w:r w:rsidRPr="00364F8B">
          <w:rPr>
            <w:rStyle w:val="Hyperlink"/>
            <w:rtl/>
          </w:rPr>
          <w:t>تهذ</w:t>
        </w:r>
        <w:r w:rsidRPr="00364F8B">
          <w:rPr>
            <w:rStyle w:val="Hyperlink"/>
            <w:rFonts w:hint="cs"/>
            <w:rtl/>
          </w:rPr>
          <w:t>ی</w:t>
        </w:r>
        <w:r w:rsidRPr="00364F8B">
          <w:rPr>
            <w:rStyle w:val="Hyperlink"/>
            <w:rFonts w:hint="eastAsia"/>
            <w:rtl/>
          </w:rPr>
          <w:t>ب</w:t>
        </w:r>
        <w:r w:rsidRPr="00364F8B">
          <w:rPr>
            <w:rStyle w:val="Hyperlink"/>
            <w:rtl/>
          </w:rPr>
          <w:t xml:space="preserve"> الاحکام، ش</w:t>
        </w:r>
        <w:r w:rsidRPr="00364F8B">
          <w:rPr>
            <w:rStyle w:val="Hyperlink"/>
            <w:rFonts w:hint="cs"/>
            <w:rtl/>
          </w:rPr>
          <w:t>ی</w:t>
        </w:r>
        <w:r w:rsidRPr="00364F8B">
          <w:rPr>
            <w:rStyle w:val="Hyperlink"/>
            <w:rFonts w:hint="eastAsia"/>
            <w:rtl/>
          </w:rPr>
          <w:t>خ</w:t>
        </w:r>
        <w:r w:rsidRPr="00364F8B">
          <w:rPr>
            <w:rStyle w:val="Hyperlink"/>
            <w:rtl/>
          </w:rPr>
          <w:t xml:space="preserve"> طوس</w:t>
        </w:r>
        <w:r w:rsidRPr="00364F8B">
          <w:rPr>
            <w:rStyle w:val="Hyperlink"/>
            <w:rFonts w:hint="cs"/>
            <w:rtl/>
          </w:rPr>
          <w:t>ی</w:t>
        </w:r>
        <w:r w:rsidRPr="00364F8B">
          <w:rPr>
            <w:rStyle w:val="Hyperlink"/>
            <w:rFonts w:hint="eastAsia"/>
            <w:rtl/>
          </w:rPr>
          <w:t>،</w:t>
        </w:r>
        <w:r w:rsidRPr="00364F8B">
          <w:rPr>
            <w:rStyle w:val="Hyperlink"/>
            <w:rtl/>
          </w:rPr>
          <w:t xml:space="preserve"> ج6، ص223.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6D6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E995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7F7FEB">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F7FEB">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F7FEB">
      <w:rPr>
        <w:b/>
        <w:bCs/>
        <w:color w:val="632423" w:themeColor="accent2" w:themeShade="80"/>
        <w:sz w:val="20"/>
        <w:szCs w:val="24"/>
        <w:rtl/>
      </w:rPr>
      <w:t>قائ</w:t>
    </w:r>
    <w:r w:rsidR="007F7FEB">
      <w:rPr>
        <w:rFonts w:hint="cs"/>
        <w:b/>
        <w:bCs/>
        <w:color w:val="632423" w:themeColor="accent2" w:themeShade="80"/>
        <w:sz w:val="20"/>
        <w:szCs w:val="24"/>
        <w:rtl/>
      </w:rPr>
      <w:t>ی</w:t>
    </w:r>
    <w:r w:rsidR="007F7FEB">
      <w:rPr>
        <w:rFonts w:hint="eastAsia"/>
        <w:b/>
        <w:bCs/>
        <w:color w:val="632423" w:themeColor="accent2" w:themeShade="80"/>
        <w:sz w:val="20"/>
        <w:szCs w:val="24"/>
        <w:rtl/>
      </w:rPr>
      <w:t>ن</w:t>
    </w:r>
    <w:r w:rsidR="007F7FE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7F7FEB">
      <w:rPr>
        <w:sz w:val="24"/>
        <w:szCs w:val="24"/>
        <w:rtl/>
      </w:rPr>
      <w:t>1 /4 /1399</w:t>
    </w:r>
  </w:p>
  <w:p w14:paraId="48DCD15B"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7F7FEB">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7F7FEB">
      <w:rPr>
        <w:sz w:val="24"/>
        <w:szCs w:val="24"/>
        <w:rtl/>
      </w:rPr>
      <w:t>مهد</w:t>
    </w:r>
    <w:r w:rsidR="007F7FEB">
      <w:rPr>
        <w:rFonts w:hint="cs"/>
        <w:sz w:val="24"/>
        <w:szCs w:val="24"/>
        <w:rtl/>
      </w:rPr>
      <w:t>ی</w:t>
    </w:r>
    <w:r w:rsidR="007F7FEB">
      <w:rPr>
        <w:sz w:val="24"/>
        <w:szCs w:val="24"/>
        <w:rtl/>
      </w:rPr>
      <w:t xml:space="preserve"> خسروب</w:t>
    </w:r>
    <w:r w:rsidR="007F7FEB">
      <w:rPr>
        <w:rFonts w:hint="cs"/>
        <w:sz w:val="24"/>
        <w:szCs w:val="24"/>
        <w:rtl/>
      </w:rPr>
      <w:t>ی</w:t>
    </w:r>
    <w:r w:rsidR="007F7FEB">
      <w:rPr>
        <w:rFonts w:hint="eastAsia"/>
        <w:sz w:val="24"/>
        <w:szCs w:val="24"/>
        <w:rtl/>
      </w:rPr>
      <w:t>گ</w:t>
    </w:r>
    <w:r w:rsidR="007F7FEB">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7F7FEB">
      <w:rPr>
        <w:sz w:val="24"/>
        <w:szCs w:val="24"/>
        <w:rtl/>
      </w:rPr>
      <w:t>شروط قاض</w:t>
    </w:r>
    <w:r w:rsidR="007F7FE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167AE"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6B90"/>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1F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1C91"/>
    <w:rsid w:val="00246D41"/>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3193"/>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792"/>
    <w:rsid w:val="007C3AD4"/>
    <w:rsid w:val="007C6D9E"/>
    <w:rsid w:val="007D1C43"/>
    <w:rsid w:val="007D6C53"/>
    <w:rsid w:val="007E1564"/>
    <w:rsid w:val="007E1E87"/>
    <w:rsid w:val="007E5B3F"/>
    <w:rsid w:val="007F2257"/>
    <w:rsid w:val="007F7FEB"/>
    <w:rsid w:val="0080091D"/>
    <w:rsid w:val="00804108"/>
    <w:rsid w:val="00804FC4"/>
    <w:rsid w:val="00816367"/>
    <w:rsid w:val="00816A0B"/>
    <w:rsid w:val="00824B22"/>
    <w:rsid w:val="00830C53"/>
    <w:rsid w:val="0083507B"/>
    <w:rsid w:val="00837FAA"/>
    <w:rsid w:val="00841F77"/>
    <w:rsid w:val="00844A45"/>
    <w:rsid w:val="0085276D"/>
    <w:rsid w:val="00863390"/>
    <w:rsid w:val="0086385C"/>
    <w:rsid w:val="00871916"/>
    <w:rsid w:val="008956DD"/>
    <w:rsid w:val="008A510E"/>
    <w:rsid w:val="008A522A"/>
    <w:rsid w:val="008B4464"/>
    <w:rsid w:val="008B750B"/>
    <w:rsid w:val="008C3162"/>
    <w:rsid w:val="008D1F14"/>
    <w:rsid w:val="008E3924"/>
    <w:rsid w:val="008F0376"/>
    <w:rsid w:val="008F13F7"/>
    <w:rsid w:val="008F5B4D"/>
    <w:rsid w:val="0090452F"/>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52A"/>
    <w:rsid w:val="00B55AE4"/>
    <w:rsid w:val="00B70B46"/>
    <w:rsid w:val="00B739B0"/>
    <w:rsid w:val="00B814A3"/>
    <w:rsid w:val="00B96F38"/>
    <w:rsid w:val="00BA1C5C"/>
    <w:rsid w:val="00BC716B"/>
    <w:rsid w:val="00BD0E74"/>
    <w:rsid w:val="00BD5F8C"/>
    <w:rsid w:val="00BE29DD"/>
    <w:rsid w:val="00C046AF"/>
    <w:rsid w:val="00C066AF"/>
    <w:rsid w:val="00C10E06"/>
    <w:rsid w:val="00C145B8"/>
    <w:rsid w:val="00C2438F"/>
    <w:rsid w:val="00C31AF0"/>
    <w:rsid w:val="00C32A7E"/>
    <w:rsid w:val="00C34F28"/>
    <w:rsid w:val="00C368DF"/>
    <w:rsid w:val="00C41E0E"/>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446"/>
    <w:rsid w:val="00E75920"/>
    <w:rsid w:val="00E80D96"/>
    <w:rsid w:val="00E871FA"/>
    <w:rsid w:val="00E936A4"/>
    <w:rsid w:val="00E954BB"/>
    <w:rsid w:val="00EA45E7"/>
    <w:rsid w:val="00EB6091"/>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932F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B5552A"/>
    <w:rPr>
      <w:color w:val="605E5C"/>
      <w:shd w:val="clear" w:color="auto" w:fill="E1DFDD"/>
    </w:rPr>
  </w:style>
  <w:style w:type="character" w:styleId="FollowedHyperlink">
    <w:name w:val="FollowedHyperlink"/>
    <w:basedOn w:val="DefaultParagraphFont"/>
    <w:uiPriority w:val="99"/>
    <w:semiHidden/>
    <w:unhideWhenUsed/>
    <w:rsid w:val="008F03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6/223/&#1601;&#1740;&#1578;&#1585;&#1575;&#1590;&#1740;&#1575;&#1606;" TargetMode="External"/><Relationship Id="rId2" Type="http://schemas.openxmlformats.org/officeDocument/2006/relationships/hyperlink" Target="http://lib.eshia.ir/11005/1/67/&#1601;&#1604;&#1740;&#1585;&#1590;&#1608;&#1575;" TargetMode="External"/><Relationship Id="rId1" Type="http://schemas.openxmlformats.org/officeDocument/2006/relationships/hyperlink" Target="http://lib.eshia.ir/10138/1/9/&#1583;&#1604;&#1575;&#1604;&#1578;&#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2EA5B-7D40-4086-A496-91250B458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770</Words>
  <Characters>4389</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2020-06-21T10:16:00Z</cp:lastPrinted>
  <dcterms:created xsi:type="dcterms:W3CDTF">2020-08-01T08:46:00Z</dcterms:created>
  <dcterms:modified xsi:type="dcterms:W3CDTF">2020-08-01T08:46:00Z</dcterms:modified>
  <cp:contentStatus>ویرایش 2.5</cp:contentStatus>
  <cp:version>2.7</cp:version>
</cp:coreProperties>
</file>