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07B6" w:rsidRPr="00AB4687" w:rsidRDefault="000607B6" w:rsidP="000607B6">
      <w:pPr>
        <w:jc w:val="center"/>
        <w:rPr>
          <w:rtl/>
        </w:rPr>
      </w:pPr>
      <w:bookmarkStart w:id="0" w:name="_GoBack"/>
      <w:bookmarkEnd w:id="0"/>
      <w:r w:rsidRPr="00AB4687">
        <w:rPr>
          <w:rtl/>
        </w:rPr>
        <w:t>خارج فقه ج</w:t>
      </w:r>
      <w:r>
        <w:rPr>
          <w:rFonts w:hint="cs"/>
          <w:rtl/>
        </w:rPr>
        <w:t>لسه</w:t>
      </w:r>
      <w:r>
        <w:rPr>
          <w:rtl/>
        </w:rPr>
        <w:t xml:space="preserve"> </w:t>
      </w:r>
      <w:r w:rsidRPr="00AB4687">
        <w:rPr>
          <w:rtl/>
        </w:rPr>
        <w:t>46 - عدم مانع ا</w:t>
      </w:r>
      <w:r>
        <w:rPr>
          <w:rtl/>
        </w:rPr>
        <w:t xml:space="preserve">ز استفاده آب در وضو - </w:t>
      </w:r>
      <w:r>
        <w:rPr>
          <w:rFonts w:hint="cs"/>
          <w:rtl/>
        </w:rPr>
        <w:t>15/09/1401</w:t>
      </w:r>
    </w:p>
    <w:p w:rsidR="000607B6" w:rsidRDefault="000607B6" w:rsidP="000607B6">
      <w:pPr>
        <w:jc w:val="lowKashida"/>
        <w:rPr>
          <w:rtl/>
        </w:rPr>
      </w:pPr>
      <w:r w:rsidRPr="006C55F6">
        <w:rPr>
          <w:rFonts w:cs="B Titr" w:hint="cs"/>
          <w:color w:val="FF0000"/>
          <w:rtl/>
        </w:rPr>
        <w:t>موضوع:</w:t>
      </w:r>
      <w:r>
        <w:rPr>
          <w:rtl/>
        </w:rPr>
        <w:t xml:space="preserve"> (</w:t>
      </w:r>
      <w:r w:rsidRPr="00AB4687">
        <w:rPr>
          <w:rtl/>
        </w:rPr>
        <w:t>شرایط وضو - عدم مانع از استعمال آب در وضو - ادله - اگر بجای تیمم، وضو گرفت - حکم جهل به ضرر و وضو گرفتن - نظر استاد</w:t>
      </w:r>
      <w:r>
        <w:rPr>
          <w:rtl/>
        </w:rPr>
        <w:t>)</w:t>
      </w:r>
    </w:p>
    <w:p w:rsidR="000607B6" w:rsidRPr="005B0AF6" w:rsidRDefault="000607B6" w:rsidP="000607B6">
      <w:pPr>
        <w:jc w:val="center"/>
        <w:rPr>
          <w:rFonts w:cs="B Badr"/>
          <w:color w:val="0070C0"/>
          <w:rtl/>
        </w:rPr>
      </w:pPr>
      <w:r w:rsidRPr="005B0AF6">
        <w:rPr>
          <w:rFonts w:cs="B Badr" w:hint="cs"/>
          <w:color w:val="0070C0"/>
          <w:rtl/>
        </w:rPr>
        <w:t>بسم الله الرّحمن الرّحيم</w:t>
      </w:r>
    </w:p>
    <w:p w:rsidR="000607B6" w:rsidRPr="005B0AF6" w:rsidRDefault="000607B6" w:rsidP="000607B6">
      <w:pPr>
        <w:jc w:val="center"/>
        <w:rPr>
          <w:rFonts w:cs="B Badr"/>
          <w:color w:val="0070C0"/>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0607B6" w:rsidRPr="00AB4687" w:rsidRDefault="000607B6" w:rsidP="000607B6">
      <w:pPr>
        <w:jc w:val="lowKashida"/>
        <w:rPr>
          <w:rtl/>
        </w:rPr>
      </w:pPr>
      <w:r w:rsidRPr="00A17339">
        <w:rPr>
          <w:color w:val="FF0000"/>
          <w:rtl/>
        </w:rPr>
        <w:t>شرط هفتم:</w:t>
      </w:r>
      <w:r w:rsidRPr="00AB4687">
        <w:rPr>
          <w:rtl/>
        </w:rPr>
        <w:t xml:space="preserve"> برای استفاده از آب مانعی نباشد مثل بیماری و تشنگی و خوف از ضرر</w:t>
      </w:r>
      <w:r>
        <w:rPr>
          <w:rFonts w:hint="cs"/>
          <w:rtl/>
        </w:rPr>
        <w:t>.</w:t>
      </w:r>
      <w:r w:rsidRPr="00AB4687">
        <w:rPr>
          <w:rtl/>
        </w:rPr>
        <w:t xml:space="preserve"> در این </w:t>
      </w:r>
      <w:r>
        <w:rPr>
          <w:rtl/>
        </w:rPr>
        <w:t>مسئله</w:t>
      </w:r>
      <w:r w:rsidRPr="00AB4687">
        <w:rPr>
          <w:rtl/>
        </w:rPr>
        <w:t xml:space="preserve"> سه فرع وجود دارد</w:t>
      </w:r>
      <w:r>
        <w:rPr>
          <w:rFonts w:hint="cs"/>
          <w:rtl/>
        </w:rPr>
        <w:t>:</w:t>
      </w:r>
    </w:p>
    <w:p w:rsidR="000607B6" w:rsidRPr="00AB4687" w:rsidRDefault="000607B6" w:rsidP="000607B6">
      <w:pPr>
        <w:jc w:val="lowKashida"/>
        <w:rPr>
          <w:rtl/>
        </w:rPr>
      </w:pPr>
      <w:r w:rsidRPr="00A32071">
        <w:rPr>
          <w:color w:val="FF0000"/>
          <w:rtl/>
        </w:rPr>
        <w:t>فرع اول:</w:t>
      </w:r>
      <w:r w:rsidRPr="00AB4687">
        <w:rPr>
          <w:rtl/>
        </w:rPr>
        <w:t xml:space="preserve"> در صورت وجود مانع از استعمال آب وظیفه شخص تیمم است و اکثر و قریب به اتفاق فقها این نظر را دارند</w:t>
      </w:r>
      <w:r>
        <w:rPr>
          <w:rtl/>
        </w:rPr>
        <w:t xml:space="preserve"> </w:t>
      </w:r>
      <w:r w:rsidRPr="00AB4687">
        <w:rPr>
          <w:rtl/>
        </w:rPr>
        <w:t>اما ادله این فرع:</w:t>
      </w:r>
    </w:p>
    <w:p w:rsidR="000607B6" w:rsidRPr="00AB4687" w:rsidRDefault="000607B6" w:rsidP="000607B6">
      <w:pPr>
        <w:jc w:val="lowKashida"/>
        <w:rPr>
          <w:rtl/>
        </w:rPr>
      </w:pPr>
      <w:r w:rsidRPr="00A32071">
        <w:rPr>
          <w:color w:val="FF0000"/>
          <w:rtl/>
        </w:rPr>
        <w:t>دلیل اول:</w:t>
      </w:r>
      <w:r w:rsidRPr="00AB4687">
        <w:rPr>
          <w:rtl/>
        </w:rPr>
        <w:t xml:space="preserve"> روایات خاصه مثل روایتی که درباره عطش وارد شده است که اگر آب استفاده شود برای تشنگی دچار مشقت </w:t>
      </w:r>
      <w:r>
        <w:rPr>
          <w:rtl/>
        </w:rPr>
        <w:t>می‌شویم</w:t>
      </w:r>
      <w:r w:rsidRPr="00AB4687">
        <w:rPr>
          <w:rtl/>
        </w:rPr>
        <w:t xml:space="preserve"> یا روایت درباره مریضی است که خوف ضرر از استفاده آب است</w:t>
      </w:r>
      <w:r>
        <w:rPr>
          <w:rFonts w:hint="cs"/>
          <w:rtl/>
        </w:rPr>
        <w:t>.</w:t>
      </w:r>
      <w:r>
        <w:rPr>
          <w:rStyle w:val="a5"/>
          <w:rtl/>
        </w:rPr>
        <w:footnoteReference w:id="1"/>
      </w:r>
    </w:p>
    <w:p w:rsidR="000607B6" w:rsidRPr="00AB4687" w:rsidRDefault="000607B6" w:rsidP="000607B6">
      <w:pPr>
        <w:jc w:val="lowKashida"/>
        <w:rPr>
          <w:rtl/>
        </w:rPr>
      </w:pPr>
      <w:r w:rsidRPr="00A32071">
        <w:rPr>
          <w:color w:val="FF0000"/>
          <w:rtl/>
        </w:rPr>
        <w:t>سؤال:</w:t>
      </w:r>
      <w:r>
        <w:rPr>
          <w:rtl/>
        </w:rPr>
        <w:t xml:space="preserve"> </w:t>
      </w:r>
      <w:r w:rsidRPr="00AB4687">
        <w:rPr>
          <w:rtl/>
        </w:rPr>
        <w:t xml:space="preserve">آیا این روایات خاصه ادله وجوب وضو را تخصیص </w:t>
      </w:r>
      <w:r>
        <w:rPr>
          <w:rtl/>
        </w:rPr>
        <w:t>می‌زند</w:t>
      </w:r>
      <w:r w:rsidRPr="00AB4687">
        <w:rPr>
          <w:rtl/>
        </w:rPr>
        <w:t xml:space="preserve"> یا نه؟</w:t>
      </w:r>
      <w:r>
        <w:rPr>
          <w:rtl/>
        </w:rPr>
        <w:t xml:space="preserve"> </w:t>
      </w:r>
      <w:r w:rsidRPr="00A32071">
        <w:rPr>
          <w:color w:val="000080"/>
          <w:rtl/>
        </w:rPr>
        <w:t>آقای خویی</w:t>
      </w:r>
      <w:r>
        <w:rPr>
          <w:rStyle w:val="a5"/>
          <w:rtl/>
        </w:rPr>
        <w:footnoteReference w:id="2"/>
      </w:r>
      <w:r w:rsidRPr="00AB4687">
        <w:rPr>
          <w:rtl/>
        </w:rPr>
        <w:t xml:space="preserve"> به این بحث پرداخته که این روایات خاصه مخصص است که در واقع ادله وضو تخصیص خورده است لذا وضو </w:t>
      </w:r>
      <w:r>
        <w:rPr>
          <w:rtl/>
        </w:rPr>
        <w:t>همه‌جا</w:t>
      </w:r>
      <w:r w:rsidRPr="00AB4687">
        <w:rPr>
          <w:rtl/>
        </w:rPr>
        <w:t xml:space="preserve"> واجب است مگر </w:t>
      </w:r>
      <w:r>
        <w:rPr>
          <w:rtl/>
        </w:rPr>
        <w:t>مثلاً</w:t>
      </w:r>
      <w:r w:rsidRPr="00AB4687">
        <w:rPr>
          <w:rtl/>
        </w:rPr>
        <w:t xml:space="preserve"> در بیماری و ضرر و رفع تشنگی،</w:t>
      </w:r>
      <w:r>
        <w:rPr>
          <w:rtl/>
        </w:rPr>
        <w:t xml:space="preserve"> </w:t>
      </w:r>
      <w:r w:rsidRPr="00AB4687">
        <w:rPr>
          <w:rtl/>
        </w:rPr>
        <w:t xml:space="preserve">پس تیمم واجب </w:t>
      </w:r>
      <w:r>
        <w:rPr>
          <w:rtl/>
        </w:rPr>
        <w:t>می‌شود</w:t>
      </w:r>
      <w:r w:rsidRPr="00AB4687">
        <w:rPr>
          <w:rtl/>
        </w:rPr>
        <w:t xml:space="preserve"> اما این وجوب تیمم از آیه تیمم </w:t>
      </w:r>
      <w:r>
        <w:rPr>
          <w:rtl/>
        </w:rPr>
        <w:t>به دست</w:t>
      </w:r>
      <w:r w:rsidRPr="00AB4687">
        <w:rPr>
          <w:rtl/>
        </w:rPr>
        <w:t xml:space="preserve"> ن</w:t>
      </w:r>
      <w:r>
        <w:rPr>
          <w:rtl/>
        </w:rPr>
        <w:t>می‌آید</w:t>
      </w:r>
      <w:r w:rsidRPr="00AB4687">
        <w:rPr>
          <w:rtl/>
        </w:rPr>
        <w:t xml:space="preserve"> چون آب دارد اما مانع از </w:t>
      </w:r>
      <w:r>
        <w:rPr>
          <w:rtl/>
        </w:rPr>
        <w:t>استفاده</w:t>
      </w:r>
      <w:r w:rsidRPr="00AB4687">
        <w:rPr>
          <w:rtl/>
        </w:rPr>
        <w:t xml:space="preserve"> کردن دارد و این مخصص شرعی است</w:t>
      </w:r>
      <w:r>
        <w:rPr>
          <w:rFonts w:hint="cs"/>
          <w:rtl/>
        </w:rPr>
        <w:t>.</w:t>
      </w:r>
    </w:p>
    <w:p w:rsidR="000607B6" w:rsidRPr="00AB4687" w:rsidRDefault="000607B6" w:rsidP="000607B6">
      <w:pPr>
        <w:jc w:val="lowKashida"/>
        <w:rPr>
          <w:rtl/>
        </w:rPr>
      </w:pPr>
      <w:r w:rsidRPr="00A32071">
        <w:rPr>
          <w:highlight w:val="yellow"/>
          <w:rtl/>
        </w:rPr>
        <w:t xml:space="preserve">نظر استاد: </w:t>
      </w:r>
      <w:r w:rsidRPr="00AB4687">
        <w:rPr>
          <w:rtl/>
        </w:rPr>
        <w:t xml:space="preserve">این روایات مخصص نیست بلکه ناظر به ادله نفی حرج و ضرر </w:t>
      </w:r>
      <w:r>
        <w:rPr>
          <w:rFonts w:hint="cs"/>
          <w:rtl/>
        </w:rPr>
        <w:t>-</w:t>
      </w:r>
      <w:r w:rsidRPr="00AB4687">
        <w:rPr>
          <w:rtl/>
        </w:rPr>
        <w:t>لاضرر و لا ضرار فی السلام</w:t>
      </w:r>
      <w:r>
        <w:rPr>
          <w:rFonts w:hint="cs"/>
          <w:rtl/>
        </w:rPr>
        <w:t>-</w:t>
      </w:r>
      <w:r w:rsidRPr="00AB4687">
        <w:rPr>
          <w:rtl/>
        </w:rPr>
        <w:t xml:space="preserve"> </w:t>
      </w:r>
      <w:r>
        <w:rPr>
          <w:rtl/>
        </w:rPr>
        <w:t>است</w:t>
      </w:r>
      <w:r w:rsidRPr="00AB4687">
        <w:rPr>
          <w:rtl/>
        </w:rPr>
        <w:t xml:space="preserve"> یعنی وضوی ضرری</w:t>
      </w:r>
      <w:r>
        <w:rPr>
          <w:rtl/>
        </w:rPr>
        <w:t xml:space="preserve"> وجو</w:t>
      </w:r>
      <w:r>
        <w:rPr>
          <w:rFonts w:hint="cs"/>
          <w:rtl/>
        </w:rPr>
        <w:t>ب</w:t>
      </w:r>
      <w:r w:rsidRPr="00AB4687">
        <w:rPr>
          <w:rtl/>
        </w:rPr>
        <w:t xml:space="preserve"> ندارد</w:t>
      </w:r>
      <w:r>
        <w:rPr>
          <w:rFonts w:hint="cs"/>
          <w:rtl/>
        </w:rPr>
        <w:t>.</w:t>
      </w:r>
    </w:p>
    <w:p w:rsidR="000607B6" w:rsidRPr="00AB4687" w:rsidRDefault="000607B6" w:rsidP="000607B6">
      <w:pPr>
        <w:jc w:val="lowKashida"/>
        <w:rPr>
          <w:rtl/>
        </w:rPr>
      </w:pPr>
      <w:r w:rsidRPr="00A32071">
        <w:rPr>
          <w:color w:val="FF0000"/>
          <w:rtl/>
        </w:rPr>
        <w:lastRenderedPageBreak/>
        <w:t>سؤال</w:t>
      </w:r>
      <w:r>
        <w:rPr>
          <w:rFonts w:hint="cs"/>
          <w:color w:val="FF0000"/>
          <w:rtl/>
        </w:rPr>
        <w:t>:</w:t>
      </w:r>
      <w:r w:rsidRPr="00AB4687">
        <w:rPr>
          <w:rtl/>
        </w:rPr>
        <w:t xml:space="preserve"> به چه ملاکی این روایات ناظر هستند؟ </w:t>
      </w:r>
      <w:r>
        <w:rPr>
          <w:rtl/>
        </w:rPr>
        <w:t>درجایی</w:t>
      </w:r>
      <w:r w:rsidRPr="00AB4687">
        <w:rPr>
          <w:rtl/>
        </w:rPr>
        <w:t xml:space="preserve"> که</w:t>
      </w:r>
      <w:r>
        <w:rPr>
          <w:rFonts w:hint="cs"/>
          <w:rtl/>
        </w:rPr>
        <w:t xml:space="preserve"> متوضی،</w:t>
      </w:r>
      <w:r w:rsidRPr="00AB4687">
        <w:rPr>
          <w:rtl/>
        </w:rPr>
        <w:t xml:space="preserve"> بیمار یا تشنه است امر به وضو ساقط نشده است و باقی است اما مانع از استعمال آب وجود دارد و با وجود امر به وضو و مانع از استعمال آب این روایات مخصص ن</w:t>
      </w:r>
      <w:r>
        <w:rPr>
          <w:rtl/>
        </w:rPr>
        <w:t>می‌شوند</w:t>
      </w:r>
      <w:r w:rsidRPr="00AB4687">
        <w:rPr>
          <w:rtl/>
        </w:rPr>
        <w:t xml:space="preserve"> بلکه این روایات امتنانی است و از باب تسهیل بر عباد صادر شده است و وقتی روایات امتنانی شد شارع از باب نفی حرج آن را صادر کرده است</w:t>
      </w:r>
      <w:r>
        <w:rPr>
          <w:rFonts w:hint="cs"/>
          <w:rtl/>
        </w:rPr>
        <w:t>.</w:t>
      </w:r>
    </w:p>
    <w:p w:rsidR="000607B6" w:rsidRPr="00AB4687" w:rsidRDefault="000607B6" w:rsidP="000607B6">
      <w:pPr>
        <w:jc w:val="lowKashida"/>
        <w:rPr>
          <w:rtl/>
        </w:rPr>
      </w:pPr>
      <w:r w:rsidRPr="00A32071">
        <w:rPr>
          <w:color w:val="FF0000"/>
          <w:rtl/>
        </w:rPr>
        <w:t>سؤال:</w:t>
      </w:r>
      <w:r>
        <w:rPr>
          <w:rtl/>
        </w:rPr>
        <w:t xml:space="preserve"> </w:t>
      </w:r>
      <w:r w:rsidRPr="00AB4687">
        <w:rPr>
          <w:rtl/>
        </w:rPr>
        <w:t>اگر در زمان بیماری و تشنگی امر به وضو باقی باشد هرگز دیگر امر به تیمم ن</w:t>
      </w:r>
      <w:r>
        <w:rPr>
          <w:rtl/>
        </w:rPr>
        <w:t>می‌آید</w:t>
      </w:r>
      <w:r w:rsidRPr="00AB4687">
        <w:rPr>
          <w:rtl/>
        </w:rPr>
        <w:t xml:space="preserve">؟ امر به وضو باقی است اما ملاک ندارد لذا بدلیت در صورت فقدان ملاک است و آنچه </w:t>
      </w:r>
      <w:r>
        <w:rPr>
          <w:rtl/>
        </w:rPr>
        <w:t>الآن</w:t>
      </w:r>
      <w:r w:rsidRPr="00AB4687">
        <w:rPr>
          <w:rtl/>
        </w:rPr>
        <w:t xml:space="preserve"> ملاک دارد بدل است نه مبدل منه</w:t>
      </w:r>
      <w:r>
        <w:rPr>
          <w:rFonts w:hint="cs"/>
          <w:rtl/>
        </w:rPr>
        <w:t>.</w:t>
      </w:r>
    </w:p>
    <w:p w:rsidR="000607B6" w:rsidRPr="00AB4687" w:rsidRDefault="000607B6" w:rsidP="000607B6">
      <w:pPr>
        <w:jc w:val="lowKashida"/>
        <w:rPr>
          <w:rtl/>
        </w:rPr>
      </w:pPr>
      <w:r w:rsidRPr="00A32071">
        <w:rPr>
          <w:color w:val="FF0000"/>
          <w:rtl/>
        </w:rPr>
        <w:t>دلیل دوم:</w:t>
      </w:r>
      <w:r w:rsidRPr="00AB4687">
        <w:rPr>
          <w:rtl/>
        </w:rPr>
        <w:t xml:space="preserve"> در موارد بین تزاحم وضو و تیمم عقل حکم </w:t>
      </w:r>
      <w:r>
        <w:rPr>
          <w:rtl/>
        </w:rPr>
        <w:t>می‌کند</w:t>
      </w:r>
      <w:r w:rsidRPr="00AB4687">
        <w:rPr>
          <w:rtl/>
        </w:rPr>
        <w:t xml:space="preserve"> که اگر عبد عصیان کند و تیمم نیاورد و وضو بگیرد وضو باطل نیست </w:t>
      </w:r>
      <w:r>
        <w:rPr>
          <w:rtl/>
        </w:rPr>
        <w:t>بنا بر</w:t>
      </w:r>
      <w:r w:rsidRPr="00AB4687">
        <w:rPr>
          <w:rtl/>
        </w:rPr>
        <w:t xml:space="preserve"> اینکه قاعده ترتب جاری شود و همین عدم بطلان وضو دلیل بر جواز تیمم هست</w:t>
      </w:r>
      <w:r>
        <w:rPr>
          <w:rFonts w:hint="cs"/>
          <w:rtl/>
        </w:rPr>
        <w:t>.</w:t>
      </w:r>
    </w:p>
    <w:p w:rsidR="000607B6" w:rsidRPr="00AB4687" w:rsidRDefault="000607B6" w:rsidP="000607B6">
      <w:pPr>
        <w:jc w:val="lowKashida"/>
        <w:rPr>
          <w:rtl/>
        </w:rPr>
      </w:pPr>
      <w:r w:rsidRPr="00A32071">
        <w:rPr>
          <w:color w:val="FF0000"/>
          <w:rtl/>
        </w:rPr>
        <w:t>دلیل سوم:</w:t>
      </w:r>
      <w:r w:rsidRPr="00AB4687">
        <w:rPr>
          <w:rtl/>
        </w:rPr>
        <w:t xml:space="preserve"> مقتضای قاعده نفی حرج و ضرر بر جواز تیمم است اما فرقی بین نفی حرج و ضرر است که اگر کسی تخلف کند و وضو بگیرد با اینکه </w:t>
      </w:r>
      <w:r>
        <w:rPr>
          <w:rtl/>
        </w:rPr>
        <w:t>می‌داند</w:t>
      </w:r>
      <w:r w:rsidRPr="00AB4687">
        <w:rPr>
          <w:rtl/>
        </w:rPr>
        <w:t xml:space="preserve"> وضو برای او ضرر دارد وضوی او صحیح نیست اما اگر خوف از عطش داشت اما آب را برای وضو مصرف کرد این وضو مانعی ندارد، این سه دلیل هر سه جواز تیمم را </w:t>
      </w:r>
      <w:r>
        <w:rPr>
          <w:rtl/>
        </w:rPr>
        <w:t>می‌گویند</w:t>
      </w:r>
      <w:r w:rsidRPr="00AB4687">
        <w:rPr>
          <w:rtl/>
        </w:rPr>
        <w:t xml:space="preserve"> اما </w:t>
      </w:r>
      <w:r>
        <w:rPr>
          <w:rtl/>
        </w:rPr>
        <w:t>راه‌های</w:t>
      </w:r>
      <w:r w:rsidRPr="00AB4687">
        <w:rPr>
          <w:rtl/>
        </w:rPr>
        <w:t xml:space="preserve"> آنها فرق دارد</w:t>
      </w:r>
      <w:r>
        <w:rPr>
          <w:rFonts w:hint="cs"/>
          <w:rtl/>
        </w:rPr>
        <w:t>.</w:t>
      </w:r>
    </w:p>
    <w:p w:rsidR="000607B6" w:rsidRPr="00AB4687" w:rsidRDefault="000607B6" w:rsidP="000607B6">
      <w:pPr>
        <w:jc w:val="lowKashida"/>
        <w:rPr>
          <w:rtl/>
        </w:rPr>
      </w:pPr>
      <w:r w:rsidRPr="00A32071">
        <w:rPr>
          <w:color w:val="FF0000"/>
          <w:rtl/>
        </w:rPr>
        <w:t>فرع دوم:</w:t>
      </w:r>
      <w:r w:rsidRPr="00AB4687">
        <w:rPr>
          <w:rtl/>
        </w:rPr>
        <w:t xml:space="preserve"> اگر بجای تیمم وضو گرفت </w:t>
      </w:r>
      <w:r w:rsidRPr="00A32071">
        <w:rPr>
          <w:color w:val="000080"/>
          <w:rtl/>
        </w:rPr>
        <w:t>سید</w:t>
      </w:r>
      <w:r w:rsidRPr="00AB4687">
        <w:rPr>
          <w:rtl/>
        </w:rPr>
        <w:t xml:space="preserve"> حکم به بطلان وضو کرد اما ما قائل به تفصیل هستیم که مثل وضوی ضرری است چون نهی</w:t>
      </w:r>
      <w:r>
        <w:rPr>
          <w:rtl/>
        </w:rPr>
        <w:t xml:space="preserve"> لاضرر و لا</w:t>
      </w:r>
      <w:r w:rsidRPr="00AB4687">
        <w:rPr>
          <w:rtl/>
        </w:rPr>
        <w:t>ضرار تعلق به آن گرفته و نهی در عبادت موجب بطلان است اما در خوف از عطش باطل نیست</w:t>
      </w:r>
      <w:r>
        <w:rPr>
          <w:rFonts w:hint="cs"/>
          <w:rtl/>
        </w:rPr>
        <w:t>.</w:t>
      </w:r>
    </w:p>
    <w:p w:rsidR="000607B6" w:rsidRPr="00AB4687" w:rsidRDefault="000607B6" w:rsidP="000607B6">
      <w:pPr>
        <w:jc w:val="lowKashida"/>
        <w:rPr>
          <w:rtl/>
        </w:rPr>
      </w:pPr>
      <w:r w:rsidRPr="00A32071">
        <w:rPr>
          <w:color w:val="FF0000"/>
          <w:rtl/>
        </w:rPr>
        <w:t>فرع سوم:</w:t>
      </w:r>
      <w:r>
        <w:rPr>
          <w:rtl/>
        </w:rPr>
        <w:t xml:space="preserve"> </w:t>
      </w:r>
      <w:r w:rsidRPr="00AB4687">
        <w:rPr>
          <w:rtl/>
        </w:rPr>
        <w:t xml:space="preserve">اگر مصلی جاهل به ضرر بود و وضو گرفت </w:t>
      </w:r>
      <w:r w:rsidRPr="00A32071">
        <w:rPr>
          <w:color w:val="000080"/>
          <w:rtl/>
        </w:rPr>
        <w:t>سید</w:t>
      </w:r>
      <w:r w:rsidRPr="00AB4687">
        <w:rPr>
          <w:rtl/>
        </w:rPr>
        <w:t xml:space="preserve"> حکم به صحت کردند اما احتیاط کند که اگر با آن وضو نماز خوانده با تیمم اعاده کند چون در واقع وضو برای او ضرری بوده است اما دلیل صحت وضو: چون عند الجهل بالضرر ملاک امر به وضو باقی است بله در صورت علم به ضرر ملاک امر ساقط است</w:t>
      </w:r>
      <w:r>
        <w:rPr>
          <w:rFonts w:hint="cs"/>
          <w:rtl/>
        </w:rPr>
        <w:t>.</w:t>
      </w:r>
    </w:p>
    <w:p w:rsidR="000607B6" w:rsidRDefault="000607B6" w:rsidP="000607B6">
      <w:pPr>
        <w:jc w:val="lowKashida"/>
        <w:rPr>
          <w:rtl/>
        </w:rPr>
      </w:pPr>
      <w:r w:rsidRPr="00A32071">
        <w:rPr>
          <w:highlight w:val="yellow"/>
          <w:rtl/>
        </w:rPr>
        <w:lastRenderedPageBreak/>
        <w:t xml:space="preserve">نظر استاد: </w:t>
      </w:r>
      <w:r w:rsidRPr="00AB4687">
        <w:rPr>
          <w:rtl/>
        </w:rPr>
        <w:t xml:space="preserve">وضوی ضرری در هیچ حالی ملاک ندارد حتی در حال جهل چون وضوی ضرری </w:t>
      </w:r>
      <w:r>
        <w:rPr>
          <w:rtl/>
        </w:rPr>
        <w:t>ذاتاً</w:t>
      </w:r>
      <w:r w:rsidRPr="00AB4687">
        <w:rPr>
          <w:rtl/>
        </w:rPr>
        <w:t xml:space="preserve"> حرام است لذا بحث از عبادیت و مقربیت وضو نیست بلکه وضوی ضرری بنفسه و </w:t>
      </w:r>
      <w:r>
        <w:rPr>
          <w:rtl/>
        </w:rPr>
        <w:t>ذاتاً حرام است که لاضرر و لا</w:t>
      </w:r>
      <w:r w:rsidRPr="00AB4687">
        <w:rPr>
          <w:rtl/>
        </w:rPr>
        <w:t>ضرار فی السلام مقید به جهل نیست</w:t>
      </w:r>
      <w:r>
        <w:rPr>
          <w:rFonts w:hint="cs"/>
          <w:rtl/>
        </w:rPr>
        <w:t>.</w:t>
      </w:r>
    </w:p>
    <w:p w:rsidR="008027AD" w:rsidRPr="000607B6" w:rsidRDefault="000607B6" w:rsidP="000607B6">
      <w:pPr>
        <w:jc w:val="center"/>
        <w:rPr>
          <w:rFonts w:cs="B Badr"/>
          <w:color w:val="0070C0"/>
          <w:sz w:val="32"/>
          <w:szCs w:val="32"/>
        </w:rPr>
      </w:pPr>
      <w:r w:rsidRPr="005B0AF6">
        <w:rPr>
          <w:rFonts w:cs="B Badr" w:hint="cs"/>
          <w:color w:val="0070C0"/>
          <w:sz w:val="32"/>
          <w:szCs w:val="32"/>
          <w:rtl/>
        </w:rPr>
        <w:t>الحمد لله رب العالمين والعاقبة للمتقين</w:t>
      </w:r>
    </w:p>
    <w:sectPr w:rsidR="008027AD" w:rsidRPr="000607B6"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12DD" w:rsidRDefault="007212DD" w:rsidP="000607B6">
      <w:pPr>
        <w:spacing w:after="0" w:line="240" w:lineRule="auto"/>
      </w:pPr>
      <w:r>
        <w:separator/>
      </w:r>
    </w:p>
  </w:endnote>
  <w:endnote w:type="continuationSeparator" w:id="0">
    <w:p w:rsidR="007212DD" w:rsidRDefault="007212DD" w:rsidP="000607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RANSans">
    <w:panose1 w:val="02040503050201020203"/>
    <w:charset w:val="00"/>
    <w:family w:val="roman"/>
    <w:pitch w:val="variable"/>
    <w:sig w:usb0="80002063" w:usb1="80002040" w:usb2="00000008" w:usb3="00000000" w:csb0="0000004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12DD" w:rsidRDefault="007212DD" w:rsidP="000607B6">
      <w:pPr>
        <w:spacing w:after="0" w:line="240" w:lineRule="auto"/>
      </w:pPr>
      <w:r>
        <w:separator/>
      </w:r>
    </w:p>
  </w:footnote>
  <w:footnote w:type="continuationSeparator" w:id="0">
    <w:p w:rsidR="007212DD" w:rsidRDefault="007212DD" w:rsidP="000607B6">
      <w:pPr>
        <w:spacing w:after="0" w:line="240" w:lineRule="auto"/>
      </w:pPr>
      <w:r>
        <w:continuationSeparator/>
      </w:r>
    </w:p>
  </w:footnote>
  <w:footnote w:id="1">
    <w:p w:rsidR="000607B6" w:rsidRDefault="000607B6" w:rsidP="000607B6">
      <w:pPr>
        <w:pStyle w:val="a3"/>
        <w:rPr>
          <w:rFonts w:hint="cs"/>
        </w:rPr>
      </w:pPr>
      <w:r>
        <w:rPr>
          <w:rStyle w:val="a5"/>
        </w:rPr>
        <w:footnoteRef/>
      </w:r>
      <w:r>
        <w:rPr>
          <w:rtl/>
        </w:rPr>
        <w:t xml:space="preserve"> </w:t>
      </w:r>
      <w:r w:rsidRPr="00AB4687">
        <w:rPr>
          <w:sz w:val="28"/>
          <w:rtl/>
        </w:rPr>
        <w:t>وسایل ج ۲ ص ۹۹۷ ح ۲ و ۳</w:t>
      </w:r>
    </w:p>
  </w:footnote>
  <w:footnote w:id="2">
    <w:p w:rsidR="000607B6" w:rsidRDefault="000607B6" w:rsidP="000607B6">
      <w:pPr>
        <w:pStyle w:val="a3"/>
        <w:rPr>
          <w:rFonts w:hint="cs"/>
          <w:rtl/>
        </w:rPr>
      </w:pPr>
      <w:r>
        <w:rPr>
          <w:rStyle w:val="a5"/>
        </w:rPr>
        <w:footnoteRef/>
      </w:r>
      <w:r>
        <w:rPr>
          <w:rtl/>
        </w:rPr>
        <w:t xml:space="preserve"> </w:t>
      </w:r>
      <w:r w:rsidRPr="00AB4687">
        <w:rPr>
          <w:sz w:val="28"/>
          <w:rtl/>
        </w:rPr>
        <w:t>تنقیح ج ۴</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07B6"/>
    <w:rsid w:val="000607B6"/>
    <w:rsid w:val="000739A7"/>
    <w:rsid w:val="0008308E"/>
    <w:rsid w:val="000E4C02"/>
    <w:rsid w:val="00152670"/>
    <w:rsid w:val="00164651"/>
    <w:rsid w:val="0028337A"/>
    <w:rsid w:val="005A4451"/>
    <w:rsid w:val="005A6F16"/>
    <w:rsid w:val="005C369A"/>
    <w:rsid w:val="00621D10"/>
    <w:rsid w:val="007212DD"/>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E4B6E7-A22B-4F24-963E-FF6CB5002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IRANSans" w:eastAsiaTheme="minorHAnsi" w:hAnsi="IRANSans" w:cs="IRANSans"/>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07B6"/>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0607B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439</Words>
  <Characters>2506</Characters>
  <Application>Microsoft Office Word</Application>
  <DocSecurity>0</DocSecurity>
  <Lines>20</Lines>
  <Paragraphs>5</Paragraphs>
  <ScaleCrop>false</ScaleCrop>
  <Company/>
  <LinksUpToDate>false</LinksUpToDate>
  <CharactersWithSpaces>2940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2022-12-09T19:04:00Z</dcterms:created>
  <dcterms:modified xsi:type="dcterms:W3CDTF">2022-12-09T19:04:00Z</dcterms:modified>
</cp:coreProperties>
</file>